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仿宋" w:hAnsi="仿宋" w:eastAsia="仿宋"/>
          <w:sz w:val="24"/>
          <w:szCs w:val="24"/>
        </w:rPr>
      </w:pPr>
      <w:r>
        <w:rPr>
          <w:rFonts w:hint="eastAsia" w:ascii="仿宋" w:hAnsi="仿宋" w:eastAsia="仿宋"/>
          <w:sz w:val="24"/>
          <w:szCs w:val="24"/>
        </w:rPr>
        <w:t>附件</w:t>
      </w:r>
      <w:r>
        <w:rPr>
          <w:rFonts w:ascii="仿宋" w:hAnsi="仿宋" w:eastAsia="仿宋"/>
          <w:sz w:val="24"/>
          <w:szCs w:val="24"/>
        </w:rPr>
        <w:t>1. 2023</w:t>
      </w:r>
      <w:r>
        <w:rPr>
          <w:rFonts w:hint="eastAsia" w:ascii="仿宋" w:hAnsi="仿宋" w:eastAsia="仿宋"/>
          <w:sz w:val="24"/>
          <w:szCs w:val="24"/>
        </w:rPr>
        <w:t>年度上海对外经贸大学长三角金</w:t>
      </w:r>
      <w:bookmarkStart w:id="2" w:name="_GoBack"/>
      <w:bookmarkEnd w:id="2"/>
      <w:r>
        <w:rPr>
          <w:rFonts w:hint="eastAsia" w:ascii="仿宋" w:hAnsi="仿宋" w:eastAsia="仿宋"/>
          <w:sz w:val="24"/>
          <w:szCs w:val="24"/>
        </w:rPr>
        <w:t>融研究院项目申报指南</w:t>
      </w:r>
    </w:p>
    <w:p>
      <w:pPr>
        <w:pStyle w:val="2"/>
        <w:spacing w:line="360" w:lineRule="auto"/>
        <w:rPr>
          <w:rFonts w:ascii="宋体" w:hAnsi="宋体" w:eastAsia="宋体"/>
          <w:bCs w:val="0"/>
          <w:sz w:val="24"/>
          <w:szCs w:val="24"/>
        </w:rPr>
      </w:pPr>
      <w:r>
        <w:rPr>
          <w:rFonts w:hint="eastAsia" w:ascii="宋体" w:hAnsi="宋体" w:eastAsia="宋体"/>
          <w:bCs w:val="0"/>
          <w:sz w:val="24"/>
          <w:szCs w:val="24"/>
        </w:rPr>
        <w:t>1</w:t>
      </w:r>
      <w:r>
        <w:rPr>
          <w:rFonts w:ascii="宋体" w:hAnsi="宋体" w:eastAsia="宋体"/>
          <w:bCs w:val="0"/>
          <w:sz w:val="24"/>
          <w:szCs w:val="24"/>
        </w:rPr>
        <w:t>.</w:t>
      </w:r>
      <w:r>
        <w:rPr>
          <w:rFonts w:hint="eastAsia" w:ascii="宋体" w:hAnsi="宋体" w:eastAsia="宋体"/>
          <w:bCs w:val="0"/>
          <w:sz w:val="24"/>
          <w:szCs w:val="24"/>
        </w:rPr>
        <w:t>长三角实体经济高质量发展金融服务指数研究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习近平总书记指出，金融是实体经济的血脉，也是国家重要的核心竞争力。金融要为实体经济服务，满足经济社会发展和人民群众需要。新时代以来，中国经济已由高速增长阶段转向高质量发展阶段，经济结构调整和转型升级的任务更加紧迫，供给侧结构性改革的深度和广度不断扩大，新发展理念的贯彻落实需要金融业提供更为有效的服务。从金融业务自身来看，虽然取得了历史性成就，但也面临着金融脱实向虚、金融风险积聚、金融创新滞后、金融监管缺失等问题，需要进一步深化金融改革开放，完善金融市场体系和监管框架，提高金融服务实体经济的能力和水平。长三角地区是中国经济最发达、创新能力最强、开放程度最高的区域之一，也是全国高质量发展的样板区。加快推进长三角实体经济高质量发展，有利于提升长三角在全球价值链中的地位和作用，增强国家综合国力和核心竞争力。长三角地区的实体经济高质量发展需要得到符合其发展需求的金融支持，促进产业转型升级，增强区域竞争力和创新力。本项目旨在围绕长三角金融支持实体经济高质量发展中存在的主要问题，重点研究金融支持实体经济高质量发展的模式与路径等问题，并构建长三角实体经济高质量发展金融服务指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1）长三角实体</w:t>
      </w:r>
      <w:r>
        <w:rPr>
          <w:rFonts w:hint="eastAsia" w:ascii="仿宋" w:hAnsi="仿宋" w:eastAsia="仿宋"/>
          <w:sz w:val="24"/>
          <w:szCs w:val="24"/>
        </w:rPr>
        <w:t>经济高质量发展金融服务的背景与意义；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（2）长三角实体经济高质量发展金融服务的现状与问题；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（3）长三角金融服务对该地区经济高质量发展的影响；</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（4）长三角实体经济高质量发展金融服务的基本方式与路径；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w:t>
      </w:r>
      <w:bookmarkStart w:id="0" w:name="_Hlk142681748"/>
      <w:r>
        <w:rPr>
          <w:rFonts w:hint="eastAsia" w:ascii="仿宋" w:hAnsi="仿宋" w:eastAsia="仿宋"/>
          <w:sz w:val="24"/>
          <w:szCs w:val="24"/>
        </w:rPr>
        <w:t>长三角实体经济高质量发展金融服务</w:t>
      </w:r>
      <w:bookmarkEnd w:id="0"/>
      <w:r>
        <w:rPr>
          <w:rFonts w:hint="eastAsia" w:ascii="仿宋" w:hAnsi="仿宋" w:eastAsia="仿宋"/>
          <w:sz w:val="24"/>
          <w:szCs w:val="24"/>
        </w:rPr>
        <w:t>指标体系与指数构建；</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（6）长三角实体经济高质量发展金融服务指数的总体分析与城市专题分析；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（7）长三角实体经济高质量发展金融服务指数的</w:t>
      </w:r>
      <w:r>
        <w:rPr>
          <w:rFonts w:ascii="仿宋" w:hAnsi="仿宋" w:eastAsia="仿宋"/>
          <w:sz w:val="24"/>
          <w:szCs w:val="24"/>
        </w:rPr>
        <w:t>对比分析与政策建议</w:t>
      </w:r>
      <w:r>
        <w:rPr>
          <w:rFonts w:hint="eastAsia" w:ascii="仿宋" w:hAnsi="仿宋" w:eastAsia="仿宋"/>
          <w:sz w:val="24"/>
          <w:szCs w:val="24"/>
        </w:rPr>
        <w:t>。</w:t>
      </w:r>
    </w:p>
    <w:p>
      <w:pPr>
        <w:pStyle w:val="2"/>
        <w:spacing w:line="360" w:lineRule="auto"/>
        <w:rPr>
          <w:bCs w:val="0"/>
          <w:sz w:val="24"/>
          <w:szCs w:val="24"/>
        </w:rPr>
      </w:pPr>
      <w:r>
        <w:rPr>
          <w:rFonts w:ascii="宋体" w:hAnsi="宋体" w:eastAsia="宋体"/>
          <w:bCs w:val="0"/>
          <w:sz w:val="24"/>
          <w:szCs w:val="24"/>
        </w:rPr>
        <w:t>2.</w:t>
      </w:r>
      <w:r>
        <w:rPr>
          <w:rFonts w:hint="eastAsia" w:ascii="宋体" w:hAnsi="宋体" w:eastAsia="宋体"/>
          <w:bCs w:val="0"/>
          <w:sz w:val="24"/>
          <w:szCs w:val="24"/>
        </w:rPr>
        <w:t>长三角乡村振兴金融服务指数研究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实施乡村振兴战略是建设现代化经济体系的重要基础，也是解决新时代中国社会主要矛盾、实现“两个一百年”奋斗目标和中华民族伟大复兴中国梦的必然要求。农村金融服务体系是现代金融体系的重要组成部分，是支持全面推进乡村振兴的重要力量。为落实《中共中央</w:t>
      </w:r>
      <w:r>
        <w:rPr>
          <w:rFonts w:ascii="仿宋" w:hAnsi="仿宋" w:eastAsia="仿宋"/>
          <w:sz w:val="24"/>
          <w:szCs w:val="24"/>
        </w:rPr>
        <w:t>国务院关于做好2023年全面推进乡村振兴重点工作的意见》</w:t>
      </w:r>
      <w:r>
        <w:rPr>
          <w:rFonts w:hint="eastAsia" w:ascii="仿宋" w:hAnsi="仿宋" w:eastAsia="仿宋"/>
          <w:sz w:val="24"/>
          <w:szCs w:val="24"/>
        </w:rPr>
        <w:t>指示精神，长三角部分地方也发布了《关于全面推进农村金融创新发展的意见》，其目的是聚焦全面推进乡村振兴，激发农村金融发展活力，进一步提升金融赋能“乡村振兴”的力度与水平。本项目旨在围绕乡村振兴战略提出的“产业兴旺、生态宜居、乡风文明、治理有效、生活富裕”二十字方针，重点研究长三角地区乡村振兴过程中的金融支持模式和路径等问题，并构建长三角乡村振兴金融服务指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（1）长三角乡村振兴金融服务的背景与意义；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（2）长三角乡村振兴金融服务的基本内涵、现状与问题；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（3）长三角金融服务对该地区乡村振兴的影响；</w:t>
      </w:r>
    </w:p>
    <w:p>
      <w:pPr>
        <w:spacing w:line="360" w:lineRule="auto"/>
        <w:ind w:firstLine="480" w:firstLineChars="200"/>
        <w:rPr>
          <w:rFonts w:ascii="仿宋" w:hAnsi="仿宋" w:eastAsia="仿宋"/>
          <w:sz w:val="24"/>
          <w:szCs w:val="24"/>
        </w:rPr>
      </w:pPr>
      <w:bookmarkStart w:id="1" w:name="_Hlk141135938"/>
      <w:r>
        <w:rPr>
          <w:rFonts w:hint="eastAsia" w:ascii="仿宋" w:hAnsi="仿宋" w:eastAsia="仿宋"/>
          <w:sz w:val="24"/>
          <w:szCs w:val="24"/>
        </w:rPr>
        <w:t>（4）长三角乡村振兴金融服务的基本模式与路径</w:t>
      </w:r>
      <w:bookmarkEnd w:id="1"/>
      <w:r>
        <w:rPr>
          <w:rFonts w:hint="eastAsia" w:ascii="仿宋" w:hAnsi="仿宋" w:eastAsia="仿宋"/>
          <w:sz w:val="24"/>
          <w:szCs w:val="24"/>
        </w:rPr>
        <w:t>；</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（5）长三角乡村振兴金融服务的指标体系与指数构建；</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（6）长三角乡村振兴金融服务指数的总体分析与城市专题分析；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（7）长三角乡村振兴金融服务指数的对比分析与政</w:t>
      </w:r>
      <w:r>
        <w:rPr>
          <w:rFonts w:ascii="仿宋" w:hAnsi="仿宋" w:eastAsia="仿宋"/>
          <w:sz w:val="24"/>
          <w:szCs w:val="24"/>
        </w:rPr>
        <w:t>策建议</w:t>
      </w:r>
      <w:r>
        <w:rPr>
          <w:rFonts w:hint="eastAsia" w:ascii="仿宋" w:hAnsi="仿宋" w:eastAsia="仿宋"/>
          <w:sz w:val="24"/>
          <w:szCs w:val="24"/>
        </w:rPr>
        <w:t>。</w:t>
      </w:r>
    </w:p>
    <w:p>
      <w:pPr>
        <w:pStyle w:val="2"/>
        <w:spacing w:line="360" w:lineRule="auto"/>
        <w:rPr>
          <w:rFonts w:ascii="宋体" w:hAnsi="宋体" w:eastAsia="宋体"/>
          <w:bCs w:val="0"/>
          <w:sz w:val="24"/>
          <w:szCs w:val="24"/>
        </w:rPr>
      </w:pPr>
      <w:r>
        <w:rPr>
          <w:rFonts w:hint="eastAsia" w:ascii="宋体" w:hAnsi="宋体" w:eastAsia="宋体"/>
          <w:bCs w:val="0"/>
          <w:sz w:val="24"/>
          <w:szCs w:val="24"/>
        </w:rPr>
        <w:t>3</w:t>
      </w:r>
      <w:r>
        <w:rPr>
          <w:rFonts w:ascii="宋体" w:hAnsi="宋体" w:eastAsia="宋体"/>
          <w:bCs w:val="0"/>
          <w:sz w:val="24"/>
          <w:szCs w:val="24"/>
        </w:rPr>
        <w:t>.</w:t>
      </w:r>
      <w:r>
        <w:rPr>
          <w:rFonts w:hint="eastAsia" w:ascii="宋体" w:hAnsi="宋体" w:eastAsia="宋体"/>
          <w:bCs w:val="0"/>
          <w:sz w:val="24"/>
          <w:szCs w:val="24"/>
        </w:rPr>
        <w:t>长三角科技创新金融服务指数研究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金融是科技创新的重要引擎之一，科技创新的发展离不开金融活水的浇灌。根据长三角地区相关政策精神，须积极引导金融机构聚焦科技创新重点领域，支持关键核心技术攻关和知识产权转化，加大对重大科技创新及研发项目的融资支持力度。科技创新需要探索金融服务的创新，探索基础研究和原始创新金融服务方式，构建财政资金引导撬动、政策性开发性金融长期支持、各类金融资本和社会资本广泛参与的多元化投入机制。要加大金融支持科技创新力度，营造有利于科技型企业成长的良好环境，</w:t>
      </w:r>
      <w:r>
        <w:rPr>
          <w:rFonts w:ascii="仿宋" w:hAnsi="仿宋" w:eastAsia="仿宋"/>
          <w:sz w:val="24"/>
          <w:szCs w:val="24"/>
        </w:rPr>
        <w:t>实现“科技－产业－金融”深度融合</w:t>
      </w:r>
      <w:r>
        <w:rPr>
          <w:rFonts w:hint="eastAsia" w:ascii="仿宋" w:hAnsi="仿宋" w:eastAsia="仿宋"/>
          <w:sz w:val="24"/>
          <w:szCs w:val="24"/>
        </w:rPr>
        <w:t>和</w:t>
      </w:r>
      <w:r>
        <w:rPr>
          <w:rFonts w:ascii="仿宋" w:hAnsi="仿宋" w:eastAsia="仿宋"/>
          <w:sz w:val="24"/>
          <w:szCs w:val="24"/>
        </w:rPr>
        <w:t>良性循环。</w:t>
      </w:r>
      <w:r>
        <w:rPr>
          <w:rFonts w:hint="eastAsia" w:ascii="仿宋" w:hAnsi="仿宋" w:eastAsia="仿宋"/>
          <w:sz w:val="24"/>
          <w:szCs w:val="24"/>
        </w:rPr>
        <w:t>本项目旨在紧密结合长三角地区金融支持科技创新实际，重点研究长三角科技创新金融服务的模式与路径等问题，并构建长三角科技创新金融服务指数。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（1）长三角科技创新金融服务的背景与意义；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（2）长三角科技创新金融服务的基本内涵、现状与问题；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（3）长三角金融服务在科创风险定价和风险配置中的作用；</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（4）长三角科技创新金融服务的基本方式与路径；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（5）长三角科技创新金融服务的指标体系与指数构建；</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（6）长三角科技创新金融服务指数的总体分析与城市专题分析；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（7）长三角科技创新金融服务指数的对比分析与政策建议。</w:t>
      </w:r>
    </w:p>
    <w:p>
      <w:pPr>
        <w:pStyle w:val="2"/>
        <w:spacing w:line="360" w:lineRule="auto"/>
        <w:rPr>
          <w:rFonts w:ascii="宋体" w:hAnsi="宋体" w:eastAsia="宋体"/>
          <w:bCs w:val="0"/>
          <w:sz w:val="24"/>
          <w:szCs w:val="24"/>
        </w:rPr>
      </w:pPr>
      <w:r>
        <w:rPr>
          <w:rFonts w:hint="eastAsia" w:ascii="宋体" w:hAnsi="宋体" w:eastAsia="宋体"/>
          <w:bCs w:val="0"/>
          <w:sz w:val="24"/>
          <w:szCs w:val="24"/>
        </w:rPr>
        <w:t>4</w:t>
      </w:r>
      <w:r>
        <w:rPr>
          <w:rFonts w:ascii="宋体" w:hAnsi="宋体" w:eastAsia="宋体"/>
          <w:bCs w:val="0"/>
          <w:sz w:val="24"/>
          <w:szCs w:val="24"/>
        </w:rPr>
        <w:t>.</w:t>
      </w:r>
      <w:r>
        <w:rPr>
          <w:rFonts w:hint="eastAsia" w:ascii="宋体" w:hAnsi="宋体" w:eastAsia="宋体"/>
          <w:bCs w:val="0"/>
          <w:sz w:val="24"/>
          <w:szCs w:val="24"/>
        </w:rPr>
        <w:t>长三角“一带一路”金融服务指数研究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“一带一路”倡议是优化中国与沿线国家之间国际分工和产业结构调整的重要平台，也是促进“中国梦”与“世界梦”互联互通的重要纽带</w:t>
      </w:r>
      <w:r>
        <w:rPr>
          <w:rFonts w:ascii="仿宋" w:hAnsi="仿宋" w:eastAsia="仿宋"/>
          <w:sz w:val="24"/>
          <w:szCs w:val="24"/>
        </w:rPr>
        <w:t>。十年来，在中国与</w:t>
      </w:r>
      <w:r>
        <w:rPr>
          <w:rFonts w:hint="eastAsia" w:ascii="仿宋" w:hAnsi="仿宋" w:eastAsia="仿宋"/>
          <w:sz w:val="24"/>
          <w:szCs w:val="24"/>
        </w:rPr>
        <w:t>“一带一路”</w:t>
      </w:r>
      <w:r>
        <w:rPr>
          <w:rFonts w:ascii="仿宋" w:hAnsi="仿宋" w:eastAsia="仿宋"/>
          <w:sz w:val="24"/>
          <w:szCs w:val="24"/>
        </w:rPr>
        <w:t>沿线国家</w:t>
      </w:r>
      <w:r>
        <w:rPr>
          <w:rFonts w:hint="eastAsia" w:ascii="仿宋" w:hAnsi="仿宋" w:eastAsia="仿宋"/>
          <w:sz w:val="24"/>
          <w:szCs w:val="24"/>
        </w:rPr>
        <w:t>的</w:t>
      </w:r>
      <w:r>
        <w:rPr>
          <w:rFonts w:ascii="仿宋" w:hAnsi="仿宋" w:eastAsia="仿宋"/>
          <w:sz w:val="24"/>
          <w:szCs w:val="24"/>
        </w:rPr>
        <w:t>共同努力下，共建“一带一路”实现了从愿景到行动的转变，</w:t>
      </w:r>
      <w:r>
        <w:rPr>
          <w:rFonts w:hint="eastAsia" w:ascii="仿宋" w:hAnsi="仿宋" w:eastAsia="仿宋"/>
          <w:sz w:val="24"/>
          <w:szCs w:val="24"/>
        </w:rPr>
        <w:t>现</w:t>
      </w:r>
      <w:r>
        <w:rPr>
          <w:rFonts w:ascii="仿宋" w:hAnsi="仿宋" w:eastAsia="仿宋"/>
          <w:sz w:val="24"/>
          <w:szCs w:val="24"/>
        </w:rPr>
        <w:t>已吸引150多个国家和30多个国际组织加入“朋友圈”，取得</w:t>
      </w:r>
      <w:r>
        <w:rPr>
          <w:rFonts w:hint="eastAsia" w:ascii="仿宋" w:hAnsi="仿宋" w:eastAsia="仿宋"/>
          <w:sz w:val="24"/>
          <w:szCs w:val="24"/>
        </w:rPr>
        <w:t>了</w:t>
      </w:r>
      <w:r>
        <w:rPr>
          <w:rFonts w:ascii="仿宋" w:hAnsi="仿宋" w:eastAsia="仿宋"/>
          <w:sz w:val="24"/>
          <w:szCs w:val="24"/>
        </w:rPr>
        <w:t>举世瞩目的成果。</w:t>
      </w:r>
      <w:r>
        <w:rPr>
          <w:rFonts w:hint="eastAsia" w:ascii="仿宋" w:hAnsi="仿宋" w:eastAsia="仿宋"/>
          <w:sz w:val="24"/>
          <w:szCs w:val="24"/>
        </w:rPr>
        <w:t>以上海为领头羊的长三角地区，在国家现代化建设大局和全方位开放格局中具有举足轻重的战略地位。该区域拥有几十个条件优越的口岸和港口城市，可快速与全球供应链对接；长三角地区内的新技术、新产业、新业态发展较快，</w:t>
      </w:r>
      <w:r>
        <w:rPr>
          <w:rFonts w:ascii="仿宋" w:hAnsi="仿宋" w:eastAsia="仿宋"/>
          <w:sz w:val="24"/>
          <w:szCs w:val="24"/>
        </w:rPr>
        <w:t>可赋能传统产业获得新的竞争优势，并以此作为“走出去”和在“一带一路”沿线国家培育建设新供应链的强大基础。</w:t>
      </w:r>
      <w:r>
        <w:rPr>
          <w:rFonts w:hint="eastAsia" w:ascii="仿宋" w:hAnsi="仿宋" w:eastAsia="仿宋"/>
          <w:sz w:val="24"/>
          <w:szCs w:val="24"/>
        </w:rPr>
        <w:t>本项目旨在紧密结合长三角地区发展实际，重点研究长三角地区“一带一路”的金融支持模式和路径，并构建长三角“一带一路”金融服务指数。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（1）长三角“一带一路”金融服务的背景与意义；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（2）长三角“一带一路”金融服务的基本内涵、现状与问题；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（3）长三角金融服务对“一带一路”发展的影响；</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（4）长三角“一带一路”金融服务的基本方式和路径；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（5）长三角“一带一路”金融服务的指标体系与指数构建；</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（6）长三角“一带一路”金融服务指数的总体分析与城市专题分析；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（7）长三角“一带一路”金融服务指数的对比分析与政策建议。</w:t>
      </w:r>
    </w:p>
    <w:p>
      <w:pPr>
        <w:pStyle w:val="2"/>
        <w:spacing w:line="360" w:lineRule="auto"/>
        <w:rPr>
          <w:rFonts w:ascii="宋体" w:hAnsi="宋体" w:eastAsia="宋体"/>
          <w:bCs w:val="0"/>
          <w:sz w:val="24"/>
          <w:szCs w:val="24"/>
        </w:rPr>
      </w:pPr>
      <w:r>
        <w:rPr>
          <w:rFonts w:hint="eastAsia" w:ascii="宋体" w:hAnsi="宋体" w:eastAsia="宋体"/>
          <w:bCs w:val="0"/>
          <w:sz w:val="24"/>
          <w:szCs w:val="24"/>
        </w:rPr>
        <w:t>5</w:t>
      </w:r>
      <w:r>
        <w:rPr>
          <w:rFonts w:ascii="宋体" w:hAnsi="宋体" w:eastAsia="宋体"/>
          <w:bCs w:val="0"/>
          <w:sz w:val="24"/>
          <w:szCs w:val="24"/>
        </w:rPr>
        <w:t>.</w:t>
      </w:r>
      <w:r>
        <w:rPr>
          <w:rFonts w:hint="eastAsia" w:ascii="宋体" w:hAnsi="宋体" w:eastAsia="宋体"/>
          <w:bCs w:val="0"/>
          <w:sz w:val="24"/>
          <w:szCs w:val="24"/>
        </w:rPr>
        <w:t>临港新片区知识产权评估国际比较研究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临港新片区是上海高端装备制造业的主阵地，是上海建设全球动力之城的核心区。目前临港新片区正在推动集成电路、人工智能、生物医药等高端制造业发展，一批独角兽、小巨人和专精特新企业正在倾力形成自身发展优势，形成了一批具有竞争力的知识产权。而知识产权运营的关键关节是评估，事关知识产权融资、知识产权出资、知识产权交易，等等。同时，临港新片区正在推进国际知识产权服务港建设，提升知识产权创造、运用、管理、保护和服务能力。知识产权评估是知识产权管理和保护的基础，需要对临港创新型企业进行调查分析，按照产业分类梳理分析临港创新型企业知识产权评估方法，并进行国际比较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（1）中国知识产权评估理论与实务发展现状；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）国际知识产权评估理论与实务最新成果；</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3</w:t>
      </w:r>
      <w:r>
        <w:rPr>
          <w:rFonts w:hint="eastAsia" w:ascii="仿宋" w:hAnsi="仿宋" w:eastAsia="仿宋"/>
          <w:sz w:val="24"/>
          <w:szCs w:val="24"/>
        </w:rPr>
        <w:t>）临港新片区创新型企业知识产权分类、运营情况及主要特点；</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（4）临港新片区创新型企业知识产权价值评估方法；</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（5）创新型企业知识产权价值评估结果的可靠性；</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（6）临港新片区创新型企业知识产权运营的政策建议。</w:t>
      </w:r>
    </w:p>
    <w:p>
      <w:pPr>
        <w:pStyle w:val="2"/>
        <w:spacing w:line="360" w:lineRule="auto"/>
        <w:rPr>
          <w:rFonts w:ascii="宋体" w:hAnsi="宋体" w:eastAsia="宋体"/>
          <w:bCs w:val="0"/>
          <w:sz w:val="24"/>
          <w:szCs w:val="24"/>
        </w:rPr>
      </w:pPr>
      <w:r>
        <w:rPr>
          <w:rFonts w:hint="eastAsia" w:ascii="宋体" w:hAnsi="宋体" w:eastAsia="宋体"/>
          <w:bCs w:val="0"/>
          <w:sz w:val="24"/>
          <w:szCs w:val="24"/>
        </w:rPr>
        <w:t>6</w:t>
      </w:r>
      <w:r>
        <w:rPr>
          <w:rFonts w:ascii="宋体" w:hAnsi="宋体" w:eastAsia="宋体"/>
          <w:bCs w:val="0"/>
          <w:sz w:val="24"/>
          <w:szCs w:val="24"/>
        </w:rPr>
        <w:t>.</w:t>
      </w:r>
      <w:r>
        <w:rPr>
          <w:rFonts w:hint="eastAsia" w:ascii="宋体" w:hAnsi="宋体" w:eastAsia="宋体"/>
          <w:bCs w:val="0"/>
          <w:sz w:val="24"/>
          <w:szCs w:val="24"/>
        </w:rPr>
        <w:t>临港新片区知识产权证券化研究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上海正在推动知识产权市场价值深度释放和金融模式创新发展，上海拥有以上交所、中金所、期交所等为代表的多层次资本市场，拥有以华为海思、中芯国际为代表的集成电路高端制造业、以中国商飞为代表的高端装备制造业。上海每万人口高价值发明专利拥有量居全国各省（区、市）第二，专精特新企业培育领跑全国所有城市。临港新片区正在打造人工智能、生物医药、集成电路、民用航空、新能源汽车、氢能源、高端装备制造、绿色再制造等高端产业，同时启动了国际知识产权服务港建设。上海的发展具有良好的知识产权证券化基础，但是其发行的知识产权证券化产品数量和规模都远远不足。须对上海及临港新片区知识产权金融问题进行研究，探索知识产权证券化的可行模式和路径。</w:t>
      </w:r>
    </w:p>
    <w:p>
      <w:pPr>
        <w:spacing w:line="360" w:lineRule="auto"/>
        <w:ind w:firstLine="480" w:firstLineChars="200"/>
        <w:rPr>
          <w:rFonts w:ascii="仿宋" w:hAnsi="仿宋" w:eastAsia="仿宋"/>
          <w:sz w:val="24"/>
          <w:szCs w:val="24"/>
        </w:rPr>
      </w:pPr>
      <w:r>
        <w:rPr>
          <w:rFonts w:ascii="仿宋" w:hAnsi="仿宋" w:eastAsia="仿宋"/>
          <w:sz w:val="24"/>
          <w:szCs w:val="24"/>
        </w:rPr>
        <w:t>本</w:t>
      </w:r>
      <w:r>
        <w:rPr>
          <w:rFonts w:hint="eastAsia" w:ascii="仿宋" w:hAnsi="仿宋" w:eastAsia="仿宋"/>
          <w:sz w:val="24"/>
          <w:szCs w:val="24"/>
        </w:rPr>
        <w:t>项目</w:t>
      </w:r>
      <w:r>
        <w:rPr>
          <w:rFonts w:ascii="仿宋" w:hAnsi="仿宋" w:eastAsia="仿宋"/>
          <w:sz w:val="24"/>
          <w:szCs w:val="24"/>
        </w:rPr>
        <w:t>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（1）上海发展知识产权证券化的背景和现实意义；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（2）上海发展知识产权证券化的现状和问题；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3</w:t>
      </w:r>
      <w:r>
        <w:rPr>
          <w:rFonts w:hint="eastAsia" w:ascii="仿宋" w:hAnsi="仿宋" w:eastAsia="仿宋"/>
          <w:sz w:val="24"/>
          <w:szCs w:val="24"/>
        </w:rPr>
        <w:t>）上海与国内外代表性城市的知识产权证券化对比分析；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4</w:t>
      </w:r>
      <w:r>
        <w:rPr>
          <w:rFonts w:hint="eastAsia" w:ascii="仿宋" w:hAnsi="仿宋" w:eastAsia="仿宋"/>
          <w:sz w:val="24"/>
          <w:szCs w:val="24"/>
        </w:rPr>
        <w:t>）临港新片区知识产权金融发展现状和问题；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（5）临港创新型企业知识产权证券化的具体模式和实施路径；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（6）临港创新型企业知识产权证券化的风险与对策。</w:t>
      </w:r>
    </w:p>
    <w:p>
      <w:pPr>
        <w:pStyle w:val="2"/>
        <w:spacing w:line="360" w:lineRule="auto"/>
        <w:rPr>
          <w:rFonts w:ascii="宋体" w:hAnsi="宋体" w:eastAsia="宋体"/>
          <w:bCs w:val="0"/>
          <w:sz w:val="24"/>
          <w:szCs w:val="24"/>
        </w:rPr>
      </w:pPr>
      <w:r>
        <w:rPr>
          <w:rFonts w:hint="eastAsia" w:ascii="宋体" w:hAnsi="宋体" w:eastAsia="宋体"/>
          <w:bCs w:val="0"/>
          <w:sz w:val="24"/>
          <w:szCs w:val="24"/>
        </w:rPr>
        <w:t>7</w:t>
      </w:r>
      <w:r>
        <w:rPr>
          <w:rFonts w:ascii="宋体" w:hAnsi="宋体" w:eastAsia="宋体"/>
          <w:bCs w:val="0"/>
          <w:sz w:val="24"/>
          <w:szCs w:val="24"/>
        </w:rPr>
        <w:t>.</w:t>
      </w:r>
      <w:r>
        <w:rPr>
          <w:rFonts w:hint="eastAsia" w:ascii="宋体" w:hAnsi="宋体" w:eastAsia="宋体"/>
          <w:bCs w:val="0"/>
          <w:sz w:val="24"/>
          <w:szCs w:val="24"/>
        </w:rPr>
        <w:t>上海石油天然气交易中心落户临港案例研究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临港新片区推进更深层次、更宽领域、更大力度的全方位、高水平开放，大宗商品贸易已成为洋山特殊综合保税区的重要产业功能，临港新片区将与上海石油天然气交易中心、上海期货交易所等各方共同探索打造大宗商品交易服务平台，加快提升油气、有色金属等大宗商品国际定价话语权。上海石油天然气交易中心迁驻临港新片区，将利用临港新片区投资和贸易自由化、便利化的区位优势、政策优势和创新优势，建设国际化、专业化、市场化的油气交易平台。须对比分析上海与新加坡等国际油气交易中心的交易规模、定价能力及相关服务功能，对上海石油天然气交易中心落户临港进行案例研究，进一步挖掘临港新片区特殊的制度创新优势，推动模式创新和品种创新，提升新片区全球大宗商品市场定价能力。</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（1）上海石油天然气交易中心运营现状及存在问题；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（2）新加坡等国际油气交易和定价的领先经验；</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（3）临港新片区打造大宗商品服务平台的举措和路径；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4</w:t>
      </w:r>
      <w:r>
        <w:rPr>
          <w:rFonts w:hint="eastAsia" w:ascii="仿宋" w:hAnsi="仿宋" w:eastAsia="仿宋"/>
          <w:sz w:val="24"/>
          <w:szCs w:val="24"/>
        </w:rPr>
        <w:t>）上海石油天然气交易中心迁址临港新片区后将如何进行模式创新和品种创新；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5</w:t>
      </w:r>
      <w:r>
        <w:rPr>
          <w:rFonts w:hint="eastAsia" w:ascii="仿宋" w:hAnsi="仿宋" w:eastAsia="仿宋"/>
          <w:sz w:val="24"/>
          <w:szCs w:val="24"/>
        </w:rPr>
        <w:t>）上海石油天然气交易中心迁址临港新片区的配套环境建设。</w:t>
      </w:r>
    </w:p>
    <w:p>
      <w:pPr>
        <w:spacing w:line="360" w:lineRule="auto"/>
        <w:ind w:firstLine="480" w:firstLineChars="200"/>
        <w:rPr>
          <w:rFonts w:ascii="仿宋" w:hAnsi="仿宋" w:eastAsia="仿宋"/>
          <w:sz w:val="24"/>
          <w:szCs w:val="24"/>
        </w:rPr>
      </w:pPr>
    </w:p>
    <w:p>
      <w:pPr>
        <w:pStyle w:val="2"/>
        <w:spacing w:line="360" w:lineRule="auto"/>
        <w:rPr>
          <w:rFonts w:ascii="宋体" w:hAnsi="宋体" w:eastAsia="宋体"/>
          <w:bCs w:val="0"/>
          <w:sz w:val="24"/>
          <w:szCs w:val="24"/>
        </w:rPr>
      </w:pPr>
      <w:r>
        <w:rPr>
          <w:rFonts w:hint="eastAsia" w:ascii="宋体" w:hAnsi="宋体" w:eastAsia="宋体"/>
          <w:bCs w:val="0"/>
          <w:sz w:val="24"/>
          <w:szCs w:val="24"/>
        </w:rPr>
        <w:t>8</w:t>
      </w:r>
      <w:r>
        <w:rPr>
          <w:rFonts w:ascii="宋体" w:hAnsi="宋体" w:eastAsia="宋体"/>
          <w:bCs w:val="0"/>
          <w:sz w:val="24"/>
          <w:szCs w:val="24"/>
        </w:rPr>
        <w:t>.</w:t>
      </w:r>
      <w:r>
        <w:rPr>
          <w:rFonts w:hint="eastAsia" w:ascii="宋体" w:hAnsi="宋体" w:eastAsia="宋体"/>
          <w:bCs w:val="0"/>
          <w:sz w:val="24"/>
          <w:szCs w:val="24"/>
        </w:rPr>
        <w:t>临港新片区数字贸易监管研究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临港新片区作为国家战略的重要承载地，依托“国际数据港”，接轨CPTPP、DEPA、R</w:t>
      </w:r>
      <w:r>
        <w:rPr>
          <w:rFonts w:ascii="仿宋" w:hAnsi="仿宋" w:eastAsia="仿宋"/>
          <w:sz w:val="24"/>
          <w:szCs w:val="24"/>
        </w:rPr>
        <w:t>CEP</w:t>
      </w:r>
      <w:r>
        <w:rPr>
          <w:rFonts w:hint="eastAsia" w:ascii="仿宋" w:hAnsi="仿宋" w:eastAsia="仿宋"/>
          <w:sz w:val="24"/>
          <w:szCs w:val="24"/>
        </w:rPr>
        <w:t>等国际经贸规则，全面推进数字制度开放，正在打造跨境数字贸易生态圈。滴水湖金融湾作为“上海市服务贸易示范基地”，集聚跨境金融服务、新型国际贸易、高端航运服务以及各类法律、咨询服务机构等已逾千家。数字化正在重塑临港新片区跨境贸易生态体系，要对临港新片区离岸转手买卖、跨境电商、服务贸易及数字贸易等新型国际贸易产业发展状况进行调研，研究新形势下数字贸易的有效监管模式。</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1</w:t>
      </w:r>
      <w:r>
        <w:rPr>
          <w:rFonts w:hint="eastAsia" w:ascii="仿宋" w:hAnsi="仿宋" w:eastAsia="仿宋"/>
          <w:sz w:val="24"/>
          <w:szCs w:val="24"/>
        </w:rPr>
        <w:t>）临港新片区加强数字贸易监管的背景和现实意义；</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）临港新片区跨境数字贸易发展现状和问题；</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（3）国际数字贸易监管先进经验对比分析；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（4）临港新片区加强数字贸易监管的有效路径及突破口；</w:t>
      </w:r>
    </w:p>
    <w:p>
      <w:pPr>
        <w:spacing w:line="360" w:lineRule="auto"/>
        <w:ind w:firstLine="480" w:firstLineChars="200"/>
        <w:rPr>
          <w:rFonts w:ascii="仿宋" w:hAnsi="仿宋" w:eastAsia="仿宋"/>
          <w:sz w:val="24"/>
          <w:szCs w:val="24"/>
        </w:rPr>
      </w:pPr>
      <w:r>
        <w:rPr>
          <w:rFonts w:hint="eastAsia" w:ascii="仿宋" w:hAnsi="仿宋" w:eastAsia="仿宋"/>
          <w:sz w:val="24"/>
          <w:szCs w:val="24"/>
        </w:rPr>
        <w:t>（5）临港新片区推动数字贸易健康有序发展的具体措施。</w:t>
      </w:r>
    </w:p>
    <w:p>
      <w:pPr>
        <w:spacing w:line="360" w:lineRule="auto"/>
        <w:ind w:firstLine="480" w:firstLineChars="200"/>
        <w:rPr>
          <w:rFonts w:ascii="宋体" w:hAnsi="宋体" w:eastAsia="宋体"/>
          <w:sz w:val="24"/>
          <w:szCs w:val="24"/>
        </w:rPr>
      </w:pPr>
    </w:p>
    <w:p>
      <w:pPr>
        <w:pStyle w:val="2"/>
        <w:spacing w:line="360" w:lineRule="auto"/>
        <w:rPr>
          <w:rFonts w:ascii="宋体" w:hAnsi="宋体" w:eastAsia="宋体"/>
          <w:bCs w:val="0"/>
          <w:sz w:val="24"/>
          <w:szCs w:val="24"/>
        </w:rPr>
      </w:pPr>
      <w:r>
        <w:rPr>
          <w:rFonts w:hint="eastAsia" w:ascii="宋体" w:hAnsi="宋体" w:eastAsia="宋体"/>
          <w:bCs w:val="0"/>
          <w:sz w:val="24"/>
          <w:szCs w:val="24"/>
        </w:rPr>
        <w:t>9</w:t>
      </w:r>
      <w:r>
        <w:rPr>
          <w:rFonts w:ascii="宋体" w:hAnsi="宋体" w:eastAsia="宋体"/>
          <w:bCs w:val="0"/>
          <w:sz w:val="24"/>
          <w:szCs w:val="24"/>
        </w:rPr>
        <w:t>.</w:t>
      </w:r>
      <w:r>
        <w:rPr>
          <w:rFonts w:hint="eastAsia" w:ascii="宋体" w:hAnsi="宋体" w:eastAsia="宋体"/>
          <w:bCs w:val="0"/>
          <w:sz w:val="24"/>
          <w:szCs w:val="24"/>
        </w:rPr>
        <w:t>临港新片区建设国际人才服务港研究</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上海自贸区临港新片区正面临着人才缺口问题，尤其以专业技术类人才最为紧缺。临港新片区打造集成电路、人工智能、生物医药和智能新能源汽车四大重点前沿产业，预计2025年前紧缺岗位人才需求为1.2万人左右。硅谷、纽约等全球科创中心，因其开放的技术移民政策加上宽松的就业环境，吸引了全球优秀人才。临港新片区对接国际高水平开放平台，正在启动“人才筑巢工程”，探索临港新片区如何发挥制度创新优势，创建良好创业环境、创新环境、生活环境吸引全球优秀人才，打造全球人才高地。</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本项目重点研究但不限于以下方面：</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1</w:t>
      </w:r>
      <w:r>
        <w:rPr>
          <w:rFonts w:hint="eastAsia" w:ascii="仿宋" w:hAnsi="仿宋" w:eastAsia="仿宋"/>
          <w:sz w:val="24"/>
          <w:szCs w:val="24"/>
        </w:rPr>
        <w:t>）临港新片区现有产业结构及人才结构；</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）临港新片区紧缺人才需求分析；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3</w:t>
      </w:r>
      <w:r>
        <w:rPr>
          <w:rFonts w:hint="eastAsia" w:ascii="仿宋" w:hAnsi="仿宋" w:eastAsia="仿宋"/>
          <w:sz w:val="24"/>
          <w:szCs w:val="24"/>
        </w:rPr>
        <w:t>）临港新片区人才政策的现状与不足；</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r>
        <w:rPr>
          <w:rFonts w:ascii="仿宋" w:hAnsi="仿宋" w:eastAsia="仿宋"/>
          <w:sz w:val="24"/>
          <w:szCs w:val="24"/>
        </w:rPr>
        <w:t>4</w:t>
      </w:r>
      <w:r>
        <w:rPr>
          <w:rFonts w:hint="eastAsia" w:ascii="仿宋" w:hAnsi="仿宋" w:eastAsia="仿宋"/>
          <w:sz w:val="24"/>
          <w:szCs w:val="24"/>
        </w:rPr>
        <w:t>）全球人才集聚地人才引进政策对比分析；</w:t>
      </w:r>
    </w:p>
    <w:p>
      <w:pPr>
        <w:spacing w:line="360" w:lineRule="auto"/>
        <w:ind w:firstLine="480" w:firstLineChars="200"/>
      </w:pPr>
      <w:r>
        <w:rPr>
          <w:rFonts w:hint="eastAsia" w:ascii="仿宋" w:hAnsi="仿宋" w:eastAsia="仿宋"/>
          <w:sz w:val="24"/>
          <w:szCs w:val="24"/>
        </w:rPr>
        <w:t>（</w:t>
      </w:r>
      <w:r>
        <w:rPr>
          <w:rFonts w:ascii="仿宋" w:hAnsi="仿宋" w:eastAsia="仿宋"/>
          <w:sz w:val="24"/>
          <w:szCs w:val="24"/>
        </w:rPr>
        <w:t>5</w:t>
      </w:r>
      <w:r>
        <w:rPr>
          <w:rFonts w:hint="eastAsia" w:ascii="仿宋" w:hAnsi="仿宋" w:eastAsia="仿宋"/>
          <w:sz w:val="24"/>
          <w:szCs w:val="24"/>
        </w:rPr>
        <w:t>）临港新片区建设国际人才服务港的制度优化研究。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8933379"/>
    </w:sdtPr>
    <w:sdtContent>
      <w:p>
        <w:pPr>
          <w:pStyle w:val="6"/>
          <w:jc w:val="right"/>
        </w:pPr>
        <w:r>
          <w:fldChar w:fldCharType="begin"/>
        </w:r>
        <w:r>
          <w:instrText xml:space="preserve">PAGE   \* MERGEFORMAT</w:instrText>
        </w:r>
        <w:r>
          <w:fldChar w:fldCharType="separate"/>
        </w:r>
        <w:r>
          <w:rPr>
            <w:lang w:val="zh-CN"/>
          </w:rPr>
          <w:t>2</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CytDA3szQysTAyNjBX0lEKTi0uzszPAykwrQUAfSTDQCwAAAA="/>
    <w:docVar w:name="commondata" w:val="eyJoZGlkIjoiZTUwNWEyZTA1M2M3N2U0ZWE5MjdmMGZkMzkwYjg0YzEifQ=="/>
  </w:docVars>
  <w:rsids>
    <w:rsidRoot w:val="00E15EFE"/>
    <w:rsid w:val="00005DB8"/>
    <w:rsid w:val="00017F93"/>
    <w:rsid w:val="00034550"/>
    <w:rsid w:val="00044C56"/>
    <w:rsid w:val="000521C3"/>
    <w:rsid w:val="00052DF6"/>
    <w:rsid w:val="00063772"/>
    <w:rsid w:val="000727D1"/>
    <w:rsid w:val="00072B4E"/>
    <w:rsid w:val="00076DF7"/>
    <w:rsid w:val="00084DAD"/>
    <w:rsid w:val="000C1525"/>
    <w:rsid w:val="000C44E2"/>
    <w:rsid w:val="000D2BDC"/>
    <w:rsid w:val="000D496A"/>
    <w:rsid w:val="000E21A4"/>
    <w:rsid w:val="00117B33"/>
    <w:rsid w:val="00165E27"/>
    <w:rsid w:val="00173B32"/>
    <w:rsid w:val="00176A7F"/>
    <w:rsid w:val="00197BC1"/>
    <w:rsid w:val="001A0E04"/>
    <w:rsid w:val="001D2DA7"/>
    <w:rsid w:val="001D502D"/>
    <w:rsid w:val="001D50CB"/>
    <w:rsid w:val="001E19F6"/>
    <w:rsid w:val="002028F9"/>
    <w:rsid w:val="00203830"/>
    <w:rsid w:val="00217DB7"/>
    <w:rsid w:val="0023308F"/>
    <w:rsid w:val="002461AB"/>
    <w:rsid w:val="00250FEB"/>
    <w:rsid w:val="002605A7"/>
    <w:rsid w:val="002740DF"/>
    <w:rsid w:val="00287BC0"/>
    <w:rsid w:val="00294B93"/>
    <w:rsid w:val="002A31BF"/>
    <w:rsid w:val="002A38FA"/>
    <w:rsid w:val="002A7377"/>
    <w:rsid w:val="002D4E59"/>
    <w:rsid w:val="002D5209"/>
    <w:rsid w:val="002E526A"/>
    <w:rsid w:val="00300771"/>
    <w:rsid w:val="00305760"/>
    <w:rsid w:val="00305D8B"/>
    <w:rsid w:val="003263E3"/>
    <w:rsid w:val="003358D7"/>
    <w:rsid w:val="0034433A"/>
    <w:rsid w:val="00373FE1"/>
    <w:rsid w:val="00374B6C"/>
    <w:rsid w:val="00394139"/>
    <w:rsid w:val="003A1957"/>
    <w:rsid w:val="003A33DB"/>
    <w:rsid w:val="003B17B4"/>
    <w:rsid w:val="003C1ECE"/>
    <w:rsid w:val="003C4F06"/>
    <w:rsid w:val="003D1AE0"/>
    <w:rsid w:val="003E7DFB"/>
    <w:rsid w:val="00415721"/>
    <w:rsid w:val="004271B2"/>
    <w:rsid w:val="00444048"/>
    <w:rsid w:val="00450228"/>
    <w:rsid w:val="004521A5"/>
    <w:rsid w:val="0045401F"/>
    <w:rsid w:val="00473199"/>
    <w:rsid w:val="00476382"/>
    <w:rsid w:val="004771FC"/>
    <w:rsid w:val="00480E34"/>
    <w:rsid w:val="004814FE"/>
    <w:rsid w:val="00491943"/>
    <w:rsid w:val="004A0A2F"/>
    <w:rsid w:val="004B3F69"/>
    <w:rsid w:val="004B6D9A"/>
    <w:rsid w:val="004B78D6"/>
    <w:rsid w:val="004C2AA6"/>
    <w:rsid w:val="004D40B2"/>
    <w:rsid w:val="004D7104"/>
    <w:rsid w:val="004E2C3D"/>
    <w:rsid w:val="0051782C"/>
    <w:rsid w:val="00517E23"/>
    <w:rsid w:val="005205B2"/>
    <w:rsid w:val="00537377"/>
    <w:rsid w:val="005434D8"/>
    <w:rsid w:val="00556601"/>
    <w:rsid w:val="0057516F"/>
    <w:rsid w:val="00584930"/>
    <w:rsid w:val="005A333F"/>
    <w:rsid w:val="005C2505"/>
    <w:rsid w:val="005C3527"/>
    <w:rsid w:val="005C4C42"/>
    <w:rsid w:val="005C544A"/>
    <w:rsid w:val="005D0CA7"/>
    <w:rsid w:val="005D740C"/>
    <w:rsid w:val="005E15C5"/>
    <w:rsid w:val="005E6447"/>
    <w:rsid w:val="005F2EF7"/>
    <w:rsid w:val="005F4D98"/>
    <w:rsid w:val="005F74EB"/>
    <w:rsid w:val="006333BB"/>
    <w:rsid w:val="00633D3F"/>
    <w:rsid w:val="006B10BE"/>
    <w:rsid w:val="006B701E"/>
    <w:rsid w:val="006C01A4"/>
    <w:rsid w:val="006C5AC1"/>
    <w:rsid w:val="006D0D1C"/>
    <w:rsid w:val="006E0560"/>
    <w:rsid w:val="00717F81"/>
    <w:rsid w:val="00744B02"/>
    <w:rsid w:val="00744E78"/>
    <w:rsid w:val="00753349"/>
    <w:rsid w:val="007640AC"/>
    <w:rsid w:val="00777339"/>
    <w:rsid w:val="007B42B9"/>
    <w:rsid w:val="007C50EB"/>
    <w:rsid w:val="007C6583"/>
    <w:rsid w:val="007C6828"/>
    <w:rsid w:val="007D1F0C"/>
    <w:rsid w:val="007D1FB0"/>
    <w:rsid w:val="007E524D"/>
    <w:rsid w:val="007E60D3"/>
    <w:rsid w:val="007F0938"/>
    <w:rsid w:val="007F11E4"/>
    <w:rsid w:val="007F4F07"/>
    <w:rsid w:val="007F7956"/>
    <w:rsid w:val="00824F59"/>
    <w:rsid w:val="0084051D"/>
    <w:rsid w:val="00844C17"/>
    <w:rsid w:val="00855D44"/>
    <w:rsid w:val="008742FF"/>
    <w:rsid w:val="00891BF0"/>
    <w:rsid w:val="00897D24"/>
    <w:rsid w:val="008A4423"/>
    <w:rsid w:val="008A5DAB"/>
    <w:rsid w:val="008E09A6"/>
    <w:rsid w:val="008F1800"/>
    <w:rsid w:val="008F526E"/>
    <w:rsid w:val="009072B5"/>
    <w:rsid w:val="00914BCE"/>
    <w:rsid w:val="009A5EE9"/>
    <w:rsid w:val="009C6146"/>
    <w:rsid w:val="009D77CC"/>
    <w:rsid w:val="00A0380A"/>
    <w:rsid w:val="00A06480"/>
    <w:rsid w:val="00A214A8"/>
    <w:rsid w:val="00A220A5"/>
    <w:rsid w:val="00A359C6"/>
    <w:rsid w:val="00A374E7"/>
    <w:rsid w:val="00A50FDA"/>
    <w:rsid w:val="00A65C13"/>
    <w:rsid w:val="00A7379D"/>
    <w:rsid w:val="00A807A7"/>
    <w:rsid w:val="00A92EBE"/>
    <w:rsid w:val="00AA7E0D"/>
    <w:rsid w:val="00AC1850"/>
    <w:rsid w:val="00AF0324"/>
    <w:rsid w:val="00AF4490"/>
    <w:rsid w:val="00B00CEE"/>
    <w:rsid w:val="00B202FD"/>
    <w:rsid w:val="00B36090"/>
    <w:rsid w:val="00B37DD1"/>
    <w:rsid w:val="00B678E7"/>
    <w:rsid w:val="00B71C38"/>
    <w:rsid w:val="00B84BB4"/>
    <w:rsid w:val="00BE533B"/>
    <w:rsid w:val="00BF1F85"/>
    <w:rsid w:val="00C3539E"/>
    <w:rsid w:val="00C55AE1"/>
    <w:rsid w:val="00C55C91"/>
    <w:rsid w:val="00C6043E"/>
    <w:rsid w:val="00C71C4A"/>
    <w:rsid w:val="00C75781"/>
    <w:rsid w:val="00C75E67"/>
    <w:rsid w:val="00C77314"/>
    <w:rsid w:val="00C841F1"/>
    <w:rsid w:val="00C85FBB"/>
    <w:rsid w:val="00C911A1"/>
    <w:rsid w:val="00C93125"/>
    <w:rsid w:val="00CA0A86"/>
    <w:rsid w:val="00CA1754"/>
    <w:rsid w:val="00CA56FF"/>
    <w:rsid w:val="00CC0884"/>
    <w:rsid w:val="00CC23A1"/>
    <w:rsid w:val="00CC3AC4"/>
    <w:rsid w:val="00CD1280"/>
    <w:rsid w:val="00CD6FB3"/>
    <w:rsid w:val="00D2245B"/>
    <w:rsid w:val="00D22992"/>
    <w:rsid w:val="00D47BFC"/>
    <w:rsid w:val="00D77272"/>
    <w:rsid w:val="00D825B2"/>
    <w:rsid w:val="00D834C2"/>
    <w:rsid w:val="00D94158"/>
    <w:rsid w:val="00DA65B1"/>
    <w:rsid w:val="00DB7B4C"/>
    <w:rsid w:val="00DC4448"/>
    <w:rsid w:val="00DC4AB3"/>
    <w:rsid w:val="00DC7C40"/>
    <w:rsid w:val="00DD0565"/>
    <w:rsid w:val="00E15EFE"/>
    <w:rsid w:val="00E5698C"/>
    <w:rsid w:val="00EC2E09"/>
    <w:rsid w:val="00EE415D"/>
    <w:rsid w:val="00F02473"/>
    <w:rsid w:val="00F1294F"/>
    <w:rsid w:val="00F20A2D"/>
    <w:rsid w:val="00F26784"/>
    <w:rsid w:val="00F3765D"/>
    <w:rsid w:val="00F601D7"/>
    <w:rsid w:val="00F63CF1"/>
    <w:rsid w:val="00F64899"/>
    <w:rsid w:val="00F779CC"/>
    <w:rsid w:val="00F9684D"/>
    <w:rsid w:val="00FB3559"/>
    <w:rsid w:val="00FE74CE"/>
    <w:rsid w:val="057D7F7E"/>
    <w:rsid w:val="10A17F03"/>
    <w:rsid w:val="18146A04"/>
    <w:rsid w:val="1932279C"/>
    <w:rsid w:val="383A1293"/>
    <w:rsid w:val="3B865B25"/>
    <w:rsid w:val="40FE0497"/>
    <w:rsid w:val="41D4505E"/>
    <w:rsid w:val="45E71F71"/>
    <w:rsid w:val="6A9A27BB"/>
    <w:rsid w:val="6E0C0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6"/>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8"/>
    <w:semiHidden/>
    <w:unhideWhenUsed/>
    <w:qFormat/>
    <w:uiPriority w:val="99"/>
    <w:pPr>
      <w:jc w:val="left"/>
    </w:pPr>
  </w:style>
  <w:style w:type="paragraph" w:styleId="5">
    <w:name w:val="Balloon Text"/>
    <w:basedOn w:val="1"/>
    <w:link w:val="19"/>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4"/>
    <w:next w:val="4"/>
    <w:link w:val="22"/>
    <w:semiHidden/>
    <w:unhideWhenUsed/>
    <w:qFormat/>
    <w:uiPriority w:val="99"/>
    <w:rPr>
      <w:b/>
      <w:bCs/>
    </w:rPr>
  </w:style>
  <w:style w:type="table" w:styleId="11">
    <w:name w:val="Table Grid"/>
    <w:basedOn w:val="1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annotation reference"/>
    <w:basedOn w:val="12"/>
    <w:semiHidden/>
    <w:unhideWhenUsed/>
    <w:qFormat/>
    <w:uiPriority w:val="99"/>
    <w:rPr>
      <w:sz w:val="21"/>
      <w:szCs w:val="21"/>
    </w:rPr>
  </w:style>
  <w:style w:type="character" w:customStyle="1" w:styleId="15">
    <w:name w:val="标题 2 字符"/>
    <w:basedOn w:val="12"/>
    <w:link w:val="2"/>
    <w:qFormat/>
    <w:uiPriority w:val="9"/>
    <w:rPr>
      <w:rFonts w:asciiTheme="majorHAnsi" w:hAnsiTheme="majorHAnsi" w:eastAsiaTheme="majorEastAsia" w:cstheme="majorBidi"/>
      <w:b/>
      <w:bCs/>
      <w:sz w:val="32"/>
      <w:szCs w:val="32"/>
    </w:rPr>
  </w:style>
  <w:style w:type="character" w:customStyle="1" w:styleId="16">
    <w:name w:val="标题 3 字符"/>
    <w:basedOn w:val="12"/>
    <w:link w:val="3"/>
    <w:qFormat/>
    <w:uiPriority w:val="9"/>
    <w:rPr>
      <w:b/>
      <w:bCs/>
      <w:sz w:val="32"/>
      <w:szCs w:val="32"/>
    </w:rPr>
  </w:style>
  <w:style w:type="character" w:customStyle="1" w:styleId="17">
    <w:name w:val="页脚 字符"/>
    <w:basedOn w:val="12"/>
    <w:link w:val="6"/>
    <w:qFormat/>
    <w:uiPriority w:val="99"/>
    <w:rPr>
      <w:sz w:val="18"/>
      <w:szCs w:val="18"/>
    </w:rPr>
  </w:style>
  <w:style w:type="character" w:customStyle="1" w:styleId="18">
    <w:name w:val="批注文字 字符"/>
    <w:basedOn w:val="12"/>
    <w:link w:val="4"/>
    <w:semiHidden/>
    <w:qFormat/>
    <w:uiPriority w:val="99"/>
  </w:style>
  <w:style w:type="character" w:customStyle="1" w:styleId="19">
    <w:name w:val="批注框文本 字符"/>
    <w:basedOn w:val="12"/>
    <w:link w:val="5"/>
    <w:semiHidden/>
    <w:qFormat/>
    <w:uiPriority w:val="99"/>
    <w:rPr>
      <w:sz w:val="18"/>
      <w:szCs w:val="18"/>
    </w:rPr>
  </w:style>
  <w:style w:type="character" w:customStyle="1" w:styleId="20">
    <w:name w:val="页眉 字符"/>
    <w:basedOn w:val="12"/>
    <w:link w:val="7"/>
    <w:qFormat/>
    <w:uiPriority w:val="99"/>
    <w:rPr>
      <w:kern w:val="2"/>
      <w:sz w:val="18"/>
      <w:szCs w:val="18"/>
    </w:rPr>
  </w:style>
  <w:style w:type="paragraph" w:customStyle="1" w:styleId="21">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2">
    <w:name w:val="批注主题 字符"/>
    <w:basedOn w:val="18"/>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5861</Words>
  <Characters>5974</Characters>
  <Lines>46</Lines>
  <Paragraphs>13</Paragraphs>
  <TotalTime>50</TotalTime>
  <ScaleCrop>false</ScaleCrop>
  <LinksUpToDate>false</LinksUpToDate>
  <CharactersWithSpaces>6096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2023-07-25T02:51:00Z</dcterms:created>
  <dc:creator>Windows 用户</dc:creator>
  <cp:lastModifiedBy>Joy</cp:lastModifiedBy>
  <dcterms:modified xsi:type="dcterms:W3CDTF">2023-09-15T02:11:26Z</dcterms:modified>
  <cp:revision>222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38D05578463C48559AB9D6E2588F1803_13</vt:lpwstr>
  </property>
</Properties>
</file>