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27D38B" w14:textId="77777777" w:rsidR="00B5745E" w:rsidRPr="00DE2161" w:rsidRDefault="00B5745E" w:rsidP="00DE2161">
      <w:pPr>
        <w:spacing w:line="360" w:lineRule="auto"/>
        <w:jc w:val="center"/>
        <w:rPr>
          <w:rFonts w:ascii="方正小标宋简体" w:eastAsia="方正小标宋简体" w:hint="eastAsia"/>
          <w:sz w:val="32"/>
          <w:szCs w:val="32"/>
        </w:rPr>
      </w:pPr>
      <w:r w:rsidRPr="00DE2161">
        <w:rPr>
          <w:rFonts w:ascii="方正小标宋简体" w:eastAsia="方正小标宋简体" w:hint="eastAsia"/>
          <w:sz w:val="32"/>
          <w:szCs w:val="32"/>
        </w:rPr>
        <w:t>2025年度决策咨询研究统计调查专项课题申报通知</w:t>
      </w:r>
    </w:p>
    <w:p w14:paraId="6228879B" w14:textId="302D83A7" w:rsidR="00B5745E" w:rsidRPr="00DE2161" w:rsidRDefault="00B5745E" w:rsidP="00DE2161">
      <w:pPr>
        <w:spacing w:beforeLines="50" w:before="156" w:line="360" w:lineRule="auto"/>
        <w:rPr>
          <w:rFonts w:ascii="仿宋_GB2312" w:eastAsia="仿宋_GB2312" w:hint="eastAsia"/>
          <w:sz w:val="28"/>
          <w:szCs w:val="28"/>
        </w:rPr>
      </w:pPr>
      <w:r w:rsidRPr="00DE2161">
        <w:rPr>
          <w:rFonts w:ascii="仿宋_GB2312" w:eastAsia="仿宋_GB2312" w:hint="eastAsia"/>
          <w:sz w:val="28"/>
          <w:szCs w:val="28"/>
        </w:rPr>
        <w:t>各有关单位：</w:t>
      </w:r>
    </w:p>
    <w:p w14:paraId="47E7290A"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现将2025年度决策咨询研究统计调查专项课题面向社会公开征集研究团队。具体事项通知如下：</w:t>
      </w:r>
    </w:p>
    <w:p w14:paraId="0A1E3569"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一、申报目录</w:t>
      </w:r>
    </w:p>
    <w:p w14:paraId="43F3A947"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1.地区生产总值核算方法的国际比较研究</w:t>
      </w:r>
    </w:p>
    <w:p w14:paraId="75B1E21B"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2.多维数据视角下的上海消费潜力评估和提振路径研究</w:t>
      </w:r>
    </w:p>
    <w:p w14:paraId="443C136E"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3.城市居民收入与消费的国际比较研究</w:t>
      </w:r>
    </w:p>
    <w:p w14:paraId="4FC232E9"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4.上海与国际大都市服务业发展比较研究</w:t>
      </w:r>
    </w:p>
    <w:p w14:paraId="6827E737"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5.上海劳动力就业与人口发展、人才吸引问题研究</w:t>
      </w:r>
    </w:p>
    <w:p w14:paraId="5DDE0943"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6.上海外来人口劳动力现状及趋势展望</w:t>
      </w:r>
    </w:p>
    <w:p w14:paraId="2A1638D7"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7.基于经济普查的上海市物流体系与产业发展的空间融合研究</w:t>
      </w:r>
    </w:p>
    <w:p w14:paraId="318F605B"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二、申报对象</w:t>
      </w:r>
    </w:p>
    <w:p w14:paraId="64704B23"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本次申报面向全国高等院校、科研机构、社会团体、企业等单位（不包括公益一类事业单位）或个人（个人申报须有课题依托管理单位）。</w:t>
      </w:r>
    </w:p>
    <w:p w14:paraId="42FF73E0"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申请人须具有较高的政治素质，熟悉决策咨询研究工作，并具有与所申报课题相关的研究基础。</w:t>
      </w:r>
    </w:p>
    <w:p w14:paraId="5D0D435F"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申请人应是所在单位的全职在岗人员。</w:t>
      </w:r>
    </w:p>
    <w:p w14:paraId="60DE7C09" w14:textId="77777777" w:rsidR="00B5745E" w:rsidRPr="00DE2161" w:rsidRDefault="00B5745E" w:rsidP="00DE2161">
      <w:pPr>
        <w:spacing w:line="360" w:lineRule="auto"/>
        <w:rPr>
          <w:rFonts w:ascii="仿宋_GB2312" w:eastAsia="仿宋_GB2312" w:hint="eastAsia"/>
          <w:b/>
          <w:bCs/>
          <w:sz w:val="28"/>
          <w:szCs w:val="28"/>
        </w:rPr>
      </w:pPr>
      <w:r w:rsidRPr="00DE2161">
        <w:rPr>
          <w:rFonts w:ascii="仿宋_GB2312" w:eastAsia="仿宋_GB2312" w:hint="eastAsia"/>
          <w:sz w:val="28"/>
          <w:szCs w:val="28"/>
        </w:rPr>
        <w:t> </w:t>
      </w:r>
      <w:r w:rsidRPr="00DE2161">
        <w:rPr>
          <w:rFonts w:ascii="仿宋_GB2312" w:eastAsia="仿宋_GB2312" w:hint="eastAsia"/>
          <w:b/>
          <w:bCs/>
          <w:sz w:val="28"/>
          <w:szCs w:val="28"/>
        </w:rPr>
        <w:t> </w:t>
      </w:r>
      <w:r w:rsidRPr="00DE2161">
        <w:rPr>
          <w:rFonts w:ascii="仿宋_GB2312" w:eastAsia="仿宋_GB2312" w:hint="eastAsia"/>
          <w:b/>
          <w:bCs/>
          <w:sz w:val="28"/>
          <w:szCs w:val="28"/>
        </w:rPr>
        <w:t>在申报截止日之前，已作为课题负责人承担在</w:t>
      </w:r>
      <w:proofErr w:type="gramStart"/>
      <w:r w:rsidRPr="00DE2161">
        <w:rPr>
          <w:rFonts w:ascii="仿宋_GB2312" w:eastAsia="仿宋_GB2312" w:hint="eastAsia"/>
          <w:b/>
          <w:bCs/>
          <w:sz w:val="28"/>
          <w:szCs w:val="28"/>
        </w:rPr>
        <w:t>研</w:t>
      </w:r>
      <w:proofErr w:type="gramEnd"/>
      <w:r w:rsidRPr="00DE2161">
        <w:rPr>
          <w:rFonts w:ascii="仿宋_GB2312" w:eastAsia="仿宋_GB2312" w:hint="eastAsia"/>
          <w:b/>
          <w:bCs/>
          <w:sz w:val="28"/>
          <w:szCs w:val="28"/>
        </w:rPr>
        <w:t>的市政府决策咨询课题的人员，不得申请。</w:t>
      </w:r>
    </w:p>
    <w:p w14:paraId="52494E05"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三、申报方式及程序</w:t>
      </w:r>
    </w:p>
    <w:p w14:paraId="6142ED1B"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lastRenderedPageBreak/>
        <w:t> </w:t>
      </w:r>
      <w:r w:rsidRPr="00DE2161">
        <w:rPr>
          <w:rFonts w:ascii="仿宋_GB2312" w:eastAsia="仿宋_GB2312" w:hint="eastAsia"/>
          <w:sz w:val="28"/>
          <w:szCs w:val="28"/>
        </w:rPr>
        <w:t> </w:t>
      </w:r>
      <w:r w:rsidRPr="00DE2161">
        <w:rPr>
          <w:rFonts w:ascii="仿宋_GB2312" w:eastAsia="仿宋_GB2312" w:hint="eastAsia"/>
          <w:sz w:val="28"/>
          <w:szCs w:val="28"/>
        </w:rPr>
        <w:t>1.申报方式：采用网上申报方式，无需提交纸质材料。申请人通过登录上海市人民政府发展研究中心网站（http://www.fzzx.sh.gov.cn）——“课题申报”栏目——“决策咨询研究项目管理平台”进行申报。</w:t>
      </w:r>
    </w:p>
    <w:p w14:paraId="5F8F1619" w14:textId="32491BA4"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2.申报步骤：（1）申请人注册并完成实名认证（已注册用户可直接登录）；（</w:t>
      </w:r>
      <w:r w:rsidR="00DE2161">
        <w:rPr>
          <w:rFonts w:ascii="仿宋_GB2312" w:eastAsia="仿宋_GB2312" w:hint="eastAsia"/>
          <w:sz w:val="28"/>
          <w:szCs w:val="28"/>
        </w:rPr>
        <w:t>2</w:t>
      </w:r>
      <w:r w:rsidRPr="00DE2161">
        <w:rPr>
          <w:rFonts w:ascii="仿宋_GB2312" w:eastAsia="仿宋_GB2312" w:hint="eastAsia"/>
          <w:sz w:val="28"/>
          <w:szCs w:val="28"/>
        </w:rPr>
        <w:t>）申请人填写提交申报材料；（</w:t>
      </w:r>
      <w:r w:rsidR="00DE2161">
        <w:rPr>
          <w:rFonts w:ascii="仿宋_GB2312" w:eastAsia="仿宋_GB2312" w:hint="eastAsia"/>
          <w:sz w:val="28"/>
          <w:szCs w:val="28"/>
        </w:rPr>
        <w:t>3</w:t>
      </w:r>
      <w:r w:rsidRPr="00DE2161">
        <w:rPr>
          <w:rFonts w:ascii="仿宋_GB2312" w:eastAsia="仿宋_GB2312" w:hint="eastAsia"/>
          <w:sz w:val="28"/>
          <w:szCs w:val="28"/>
        </w:rPr>
        <w:t>）申请人所在单位完成网上审核。</w:t>
      </w:r>
    </w:p>
    <w:p w14:paraId="0F4FAF80"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3.课题指南获取：登录上海市人民政府发展研究中心网站查阅《2025年度决策咨询研究统计调查专项课题指南》。</w:t>
      </w:r>
    </w:p>
    <w:p w14:paraId="7F0C82FC" w14:textId="77777777" w:rsidR="00B5745E" w:rsidRPr="00DE2161" w:rsidRDefault="00B5745E" w:rsidP="00DE2161">
      <w:pPr>
        <w:spacing w:line="360" w:lineRule="auto"/>
        <w:rPr>
          <w:rFonts w:ascii="仿宋_GB2312" w:eastAsia="仿宋_GB2312" w:hint="eastAsia"/>
          <w:b/>
          <w:bCs/>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4.申报数量限制：</w:t>
      </w:r>
      <w:r w:rsidRPr="00DE2161">
        <w:rPr>
          <w:rFonts w:ascii="仿宋_GB2312" w:eastAsia="仿宋_GB2312" w:hint="eastAsia"/>
          <w:b/>
          <w:bCs/>
          <w:sz w:val="28"/>
          <w:szCs w:val="28"/>
        </w:rPr>
        <w:t>同一申请人限申报1项。</w:t>
      </w:r>
    </w:p>
    <w:p w14:paraId="1E09F450"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5.在线填写要求：申请人应仔细阅读课题指南和填表说明；申报材料应简明扼要，突出重点和关键，其中《课题论证活页》部分不得出现课题申请人及成员的姓名和单位，字数限3000字，图表不超过规定尺寸。</w:t>
      </w:r>
    </w:p>
    <w:p w14:paraId="7EEE50CA" w14:textId="150FB4D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 xml:space="preserve">6. </w:t>
      </w:r>
      <w:r w:rsidRPr="00DE2161">
        <w:rPr>
          <w:rFonts w:ascii="仿宋_GB2312" w:eastAsia="仿宋_GB2312" w:hint="eastAsia"/>
          <w:b/>
          <w:bCs/>
          <w:sz w:val="28"/>
          <w:szCs w:val="28"/>
        </w:rPr>
        <w:t>网上申报受理日期：2025年4月30日（星期三）至5月1</w:t>
      </w:r>
      <w:r w:rsidR="00DE2161" w:rsidRPr="00DE2161">
        <w:rPr>
          <w:rFonts w:ascii="仿宋_GB2312" w:eastAsia="仿宋_GB2312" w:hint="eastAsia"/>
          <w:b/>
          <w:bCs/>
          <w:sz w:val="28"/>
          <w:szCs w:val="28"/>
        </w:rPr>
        <w:t>5</w:t>
      </w:r>
      <w:r w:rsidRPr="00DE2161">
        <w:rPr>
          <w:rFonts w:ascii="仿宋_GB2312" w:eastAsia="仿宋_GB2312" w:hint="eastAsia"/>
          <w:b/>
          <w:bCs/>
          <w:sz w:val="28"/>
          <w:szCs w:val="28"/>
        </w:rPr>
        <w:t>日（星期</w:t>
      </w:r>
      <w:r w:rsidR="00DE2161" w:rsidRPr="00DE2161">
        <w:rPr>
          <w:rFonts w:ascii="仿宋_GB2312" w:eastAsia="仿宋_GB2312" w:hint="eastAsia"/>
          <w:b/>
          <w:bCs/>
          <w:sz w:val="28"/>
          <w:szCs w:val="28"/>
        </w:rPr>
        <w:t>四</w:t>
      </w:r>
      <w:r w:rsidRPr="00DE2161">
        <w:rPr>
          <w:rFonts w:ascii="仿宋_GB2312" w:eastAsia="仿宋_GB2312" w:hint="eastAsia"/>
          <w:b/>
          <w:bCs/>
          <w:sz w:val="28"/>
          <w:szCs w:val="28"/>
        </w:rPr>
        <w:t>）</w:t>
      </w:r>
      <w:r w:rsidR="00DE2161" w:rsidRPr="00DE2161">
        <w:rPr>
          <w:rFonts w:ascii="仿宋_GB2312" w:eastAsia="仿宋_GB2312" w:hint="eastAsia"/>
          <w:b/>
          <w:bCs/>
          <w:sz w:val="28"/>
          <w:szCs w:val="28"/>
        </w:rPr>
        <w:t>。</w:t>
      </w:r>
    </w:p>
    <w:p w14:paraId="179E4A46"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四、评审程序</w:t>
      </w:r>
    </w:p>
    <w:p w14:paraId="2E9420B2"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1.申报受理后，由受理单位组织进行两轮评审。</w:t>
      </w:r>
    </w:p>
    <w:p w14:paraId="03B70829"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2.评审结果将于2025年6月在上海市人民政府发展研究中心网站向社会公布。</w:t>
      </w:r>
    </w:p>
    <w:p w14:paraId="1FC0C8EA"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五、研究进度要求</w:t>
      </w:r>
    </w:p>
    <w:p w14:paraId="41E87F71"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1.课题组按要求须填报《上海市人民政府决策咨询研究项目计划</w:t>
      </w:r>
      <w:r w:rsidRPr="00DE2161">
        <w:rPr>
          <w:rFonts w:ascii="仿宋_GB2312" w:eastAsia="仿宋_GB2312" w:hint="eastAsia"/>
          <w:sz w:val="28"/>
          <w:szCs w:val="28"/>
        </w:rPr>
        <w:lastRenderedPageBreak/>
        <w:t>任务书》，并提交详细研究提纲和具体实施计划。</w:t>
      </w:r>
    </w:p>
    <w:p w14:paraId="0F6DE201"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2.研究期限为2025年6月至10月。</w:t>
      </w:r>
    </w:p>
    <w:p w14:paraId="0583EC93"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3.提交研究成果包括：研究报告（含摘要）、专报，由受理单位组织专家</w:t>
      </w:r>
      <w:proofErr w:type="gramStart"/>
      <w:r w:rsidRPr="00DE2161">
        <w:rPr>
          <w:rFonts w:ascii="仿宋_GB2312" w:eastAsia="仿宋_GB2312" w:hint="eastAsia"/>
          <w:sz w:val="28"/>
          <w:szCs w:val="28"/>
        </w:rPr>
        <w:t>开展结项评审</w:t>
      </w:r>
      <w:proofErr w:type="gramEnd"/>
      <w:r w:rsidRPr="00DE2161">
        <w:rPr>
          <w:rFonts w:ascii="仿宋_GB2312" w:eastAsia="仿宋_GB2312" w:hint="eastAsia"/>
          <w:sz w:val="28"/>
          <w:szCs w:val="28"/>
        </w:rPr>
        <w:t>验收。</w:t>
      </w:r>
    </w:p>
    <w:p w14:paraId="31177D53"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六、经费资助</w:t>
      </w:r>
    </w:p>
    <w:p w14:paraId="6D2F9C49"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资助经费由上海市统计局承担，每项课题资助人民币12万元。</w:t>
      </w:r>
    </w:p>
    <w:p w14:paraId="568B9321"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七、联系方式</w:t>
      </w:r>
    </w:p>
    <w:p w14:paraId="43984782"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受理部门：上海市统计局</w:t>
      </w:r>
    </w:p>
    <w:p w14:paraId="43FC1CFE"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联系地址：上海市威海路48号1515室（邮编：200003）</w:t>
      </w:r>
    </w:p>
    <w:p w14:paraId="39F12327"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联 系 人：徐振辉</w:t>
      </w:r>
    </w:p>
    <w:p w14:paraId="72DE51B4"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联系电话：021-53851554，18918882552</w:t>
      </w:r>
    </w:p>
    <w:p w14:paraId="55F14B9E" w14:textId="7EFA044D" w:rsidR="00B5745E" w:rsidRDefault="00B5745E" w:rsidP="00DE2161">
      <w:pPr>
        <w:spacing w:line="360" w:lineRule="auto"/>
        <w:rPr>
          <w:rFonts w:ascii="仿宋_GB2312" w:eastAsia="仿宋_GB2312"/>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电子信箱：</w:t>
      </w:r>
      <w:hyperlink r:id="rId6" w:history="1">
        <w:r w:rsidR="00DE2161" w:rsidRPr="00C73F98">
          <w:rPr>
            <w:rStyle w:val="af2"/>
            <w:rFonts w:ascii="仿宋_GB2312" w:eastAsia="仿宋_GB2312" w:hint="eastAsia"/>
            <w:sz w:val="28"/>
            <w:szCs w:val="28"/>
          </w:rPr>
          <w:t>zys@tjj.shanghai.gov.cn</w:t>
        </w:r>
      </w:hyperlink>
    </w:p>
    <w:p w14:paraId="14A8609F" w14:textId="0A510EB7" w:rsidR="00DE2161" w:rsidRPr="00DE2161" w:rsidRDefault="00DE2161" w:rsidP="00DE2161">
      <w:pPr>
        <w:spacing w:line="360" w:lineRule="auto"/>
        <w:ind w:firstLineChars="200" w:firstLine="560"/>
        <w:rPr>
          <w:rFonts w:ascii="仿宋_GB2312" w:eastAsia="仿宋_GB2312" w:hint="eastAsia"/>
          <w:sz w:val="28"/>
          <w:szCs w:val="28"/>
        </w:rPr>
      </w:pPr>
      <w:bookmarkStart w:id="0" w:name="_Hlk196857998"/>
      <w:r>
        <w:rPr>
          <w:rFonts w:ascii="仿宋_GB2312" w:eastAsia="仿宋_GB2312" w:hint="eastAsia"/>
          <w:sz w:val="28"/>
          <w:szCs w:val="28"/>
        </w:rPr>
        <w:t>校内联系人：程琳   13621663467</w:t>
      </w:r>
      <w:bookmarkEnd w:id="0"/>
    </w:p>
    <w:p w14:paraId="24EED586"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特此通知。</w:t>
      </w:r>
    </w:p>
    <w:p w14:paraId="776722DB" w14:textId="77777777" w:rsidR="00DE2161" w:rsidRDefault="00B5745E" w:rsidP="00DE2161">
      <w:pPr>
        <w:spacing w:line="360" w:lineRule="auto"/>
        <w:rPr>
          <w:rFonts w:ascii="仿宋_GB2312" w:eastAsia="仿宋_GB2312"/>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p>
    <w:p w14:paraId="0B419A12" w14:textId="77777777" w:rsidR="00DE2161" w:rsidRDefault="00DE2161" w:rsidP="00DE2161">
      <w:pPr>
        <w:spacing w:line="360" w:lineRule="auto"/>
        <w:rPr>
          <w:rFonts w:ascii="仿宋_GB2312" w:eastAsia="仿宋_GB2312"/>
          <w:sz w:val="28"/>
          <w:szCs w:val="28"/>
        </w:rPr>
      </w:pPr>
    </w:p>
    <w:p w14:paraId="79824972" w14:textId="4AB134C1"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附件：2025年度决策咨询研究统计调查专项课题指南</w:t>
      </w:r>
    </w:p>
    <w:p w14:paraId="16489D77" w14:textId="77777777" w:rsidR="00B5745E" w:rsidRDefault="00B5745E" w:rsidP="00DE2161">
      <w:pPr>
        <w:spacing w:line="360" w:lineRule="auto"/>
        <w:rPr>
          <w:rFonts w:ascii="仿宋_GB2312" w:eastAsia="仿宋_GB2312"/>
          <w:sz w:val="28"/>
          <w:szCs w:val="28"/>
        </w:rPr>
      </w:pPr>
      <w:r w:rsidRPr="00DE2161">
        <w:rPr>
          <w:rFonts w:ascii="仿宋_GB2312" w:eastAsia="仿宋_GB2312" w:hint="eastAsia"/>
          <w:sz w:val="28"/>
          <w:szCs w:val="28"/>
        </w:rPr>
        <w:t> </w:t>
      </w:r>
    </w:p>
    <w:p w14:paraId="785336FB" w14:textId="77777777" w:rsidR="00DE2161" w:rsidRPr="00DE2161" w:rsidRDefault="00DE2161" w:rsidP="00DE2161">
      <w:pPr>
        <w:spacing w:line="360" w:lineRule="auto"/>
        <w:rPr>
          <w:rFonts w:ascii="仿宋_GB2312" w:eastAsia="仿宋_GB2312" w:hint="eastAsia"/>
          <w:sz w:val="28"/>
          <w:szCs w:val="28"/>
        </w:rPr>
      </w:pPr>
    </w:p>
    <w:p w14:paraId="73647D9E" w14:textId="77777777" w:rsidR="00DE2161" w:rsidRDefault="00DE2161" w:rsidP="00DE2161">
      <w:pPr>
        <w:adjustRightInd w:val="0"/>
        <w:snapToGrid w:val="0"/>
        <w:spacing w:line="360" w:lineRule="auto"/>
        <w:jc w:val="right"/>
        <w:rPr>
          <w:rFonts w:ascii="仿宋_GB2312" w:eastAsia="仿宋_GB2312"/>
          <w:sz w:val="28"/>
          <w:szCs w:val="28"/>
        </w:rPr>
      </w:pPr>
      <w:bookmarkStart w:id="1" w:name="_Hlk196857496"/>
      <w:bookmarkStart w:id="2" w:name="_Hlk196858013"/>
      <w:r>
        <w:rPr>
          <w:rFonts w:ascii="仿宋_GB2312" w:eastAsia="仿宋_GB2312" w:hint="eastAsia"/>
          <w:sz w:val="28"/>
          <w:szCs w:val="28"/>
        </w:rPr>
        <w:t>上海对外经贸大学</w:t>
      </w:r>
    </w:p>
    <w:p w14:paraId="71341087" w14:textId="77777777" w:rsidR="00DE2161" w:rsidRDefault="00DE2161" w:rsidP="00DE2161">
      <w:pPr>
        <w:adjustRightInd w:val="0"/>
        <w:snapToGrid w:val="0"/>
        <w:spacing w:line="360" w:lineRule="auto"/>
        <w:jc w:val="right"/>
        <w:rPr>
          <w:rFonts w:ascii="仿宋_GB2312" w:eastAsia="仿宋_GB2312"/>
          <w:sz w:val="28"/>
          <w:szCs w:val="28"/>
        </w:rPr>
      </w:pPr>
      <w:r>
        <w:rPr>
          <w:rFonts w:ascii="仿宋_GB2312" w:eastAsia="仿宋_GB2312" w:hint="eastAsia"/>
          <w:sz w:val="28"/>
          <w:szCs w:val="28"/>
        </w:rPr>
        <w:t>科研处</w:t>
      </w:r>
    </w:p>
    <w:p w14:paraId="79BC63E9" w14:textId="02E5697A" w:rsidR="00B5745E" w:rsidRPr="00DE2161" w:rsidRDefault="00DE2161" w:rsidP="00DE2161">
      <w:pPr>
        <w:adjustRightInd w:val="0"/>
        <w:snapToGrid w:val="0"/>
        <w:spacing w:line="360" w:lineRule="auto"/>
        <w:jc w:val="right"/>
        <w:rPr>
          <w:rFonts w:ascii="仿宋_GB2312" w:eastAsia="仿宋_GB2312" w:hint="eastAsia"/>
          <w:sz w:val="28"/>
          <w:szCs w:val="28"/>
        </w:rPr>
      </w:pPr>
      <w:r>
        <w:rPr>
          <w:rFonts w:ascii="仿宋_GB2312" w:eastAsia="仿宋_GB2312" w:hint="eastAsia"/>
          <w:sz w:val="28"/>
          <w:szCs w:val="28"/>
        </w:rPr>
        <w:t>2025年4月29日</w:t>
      </w:r>
      <w:bookmarkEnd w:id="1"/>
      <w:bookmarkEnd w:id="2"/>
    </w:p>
    <w:p w14:paraId="4B51E717" w14:textId="40DADB10"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lastRenderedPageBreak/>
        <w:t>附件</w:t>
      </w:r>
      <w:r w:rsidR="00DE2161">
        <w:rPr>
          <w:rFonts w:ascii="仿宋_GB2312" w:eastAsia="仿宋_GB2312" w:hint="eastAsia"/>
          <w:sz w:val="28"/>
          <w:szCs w:val="28"/>
        </w:rPr>
        <w:t>：</w:t>
      </w:r>
    </w:p>
    <w:p w14:paraId="201B4A87" w14:textId="733C14B5" w:rsidR="00B5745E" w:rsidRPr="00DE2161" w:rsidRDefault="00B5745E" w:rsidP="00DE2161">
      <w:pPr>
        <w:spacing w:line="360" w:lineRule="auto"/>
        <w:jc w:val="center"/>
        <w:rPr>
          <w:rFonts w:ascii="方正小标宋简体" w:eastAsia="方正小标宋简体" w:hint="eastAsia"/>
          <w:sz w:val="32"/>
          <w:szCs w:val="32"/>
        </w:rPr>
      </w:pPr>
      <w:r w:rsidRPr="00DE2161">
        <w:rPr>
          <w:rFonts w:ascii="方正小标宋简体" w:eastAsia="方正小标宋简体" w:hint="eastAsia"/>
          <w:sz w:val="32"/>
          <w:szCs w:val="32"/>
        </w:rPr>
        <w:t>2025年度决策咨询研究统计调查专项课题指南</w:t>
      </w:r>
    </w:p>
    <w:p w14:paraId="5206E978" w14:textId="77777777" w:rsidR="00B5745E" w:rsidRPr="00DE2161" w:rsidRDefault="00B5745E" w:rsidP="00DE2161">
      <w:pPr>
        <w:spacing w:beforeLines="50" w:before="156"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一、地区生产总值核算方法的国际比较研究</w:t>
      </w:r>
    </w:p>
    <w:p w14:paraId="6E3784EC"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研究目的与要求</w:t>
      </w:r>
      <w:r w:rsidRPr="00DE2161">
        <w:rPr>
          <w:rFonts w:ascii="仿宋_GB2312" w:eastAsia="仿宋_GB2312" w:hint="eastAsia"/>
          <w:sz w:val="28"/>
          <w:szCs w:val="28"/>
        </w:rPr>
        <w:t>：</w:t>
      </w:r>
    </w:p>
    <w:p w14:paraId="62F333E3"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党的二十届三中全会对进一步深化统计改革</w:t>
      </w:r>
      <w:proofErr w:type="gramStart"/>
      <w:r w:rsidRPr="00DE2161">
        <w:rPr>
          <w:rFonts w:ascii="仿宋_GB2312" w:eastAsia="仿宋_GB2312" w:hint="eastAsia"/>
          <w:sz w:val="28"/>
          <w:szCs w:val="28"/>
        </w:rPr>
        <w:t>作出</w:t>
      </w:r>
      <w:proofErr w:type="gramEnd"/>
      <w:r w:rsidRPr="00DE2161">
        <w:rPr>
          <w:rFonts w:ascii="仿宋_GB2312" w:eastAsia="仿宋_GB2312" w:hint="eastAsia"/>
          <w:sz w:val="28"/>
          <w:szCs w:val="28"/>
        </w:rPr>
        <w:t>系统部署,上海作为我国经济中心城市和深度链接全球的国际大都市，应积极对标对表重点国际城市，优化完善地区生产总值核算方法，提高国际可比性，且更真实反映自身高质量发展成效。本课题旨在对上海与重点国际城市地区生产总值和重点行业增加值进行比较分析，并系统梳理重点国际城市地区生产总值核算方法，在此基础上立足上海发展实际，为进一步优化我国地区生产总值核算方法提出建议。</w:t>
      </w:r>
    </w:p>
    <w:p w14:paraId="271A89DF"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本课题重点研究但不限于以下方面：</w:t>
      </w:r>
    </w:p>
    <w:p w14:paraId="4027F3E6"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1.上海与重点国际城市（包括但不限于纽约、伦敦、巴黎、东京）地区生产总值和重点行业增加值比较分析；</w:t>
      </w:r>
    </w:p>
    <w:p w14:paraId="57C487C2"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2.重点国际城市的地区生产总值核算方法比较研究；</w:t>
      </w:r>
    </w:p>
    <w:p w14:paraId="29990913"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3.按照不同核算频率（季度、半年度或年度），对重点行业的核算方法进行归类研究；</w:t>
      </w:r>
    </w:p>
    <w:p w14:paraId="6EFDF172"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4.总结提出优化完善地区生产总值核算方法的建议。</w:t>
      </w:r>
    </w:p>
    <w:p w14:paraId="1F249090"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二、多维数据视角下的上海消费潜力评估和提振路径研究</w:t>
      </w:r>
    </w:p>
    <w:p w14:paraId="58CA9863" w14:textId="77777777" w:rsidR="00B5745E" w:rsidRPr="00DE2161" w:rsidRDefault="00B5745E" w:rsidP="00DE2161">
      <w:pPr>
        <w:spacing w:line="360" w:lineRule="auto"/>
        <w:rPr>
          <w:rFonts w:ascii="仿宋_GB2312" w:eastAsia="仿宋_GB2312" w:hint="eastAsia"/>
          <w:b/>
          <w:bCs/>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研究目的与要求：</w:t>
      </w:r>
    </w:p>
    <w:p w14:paraId="6F44F104"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中央经济工作会议将“大力提振消费”列为2025年我国经济工作重点任务之首。提振消费、促进居民消费潜力充分释放成为各级政</w:t>
      </w:r>
      <w:r w:rsidRPr="00DE2161">
        <w:rPr>
          <w:rFonts w:ascii="仿宋_GB2312" w:eastAsia="仿宋_GB2312" w:hint="eastAsia"/>
          <w:sz w:val="28"/>
          <w:szCs w:val="28"/>
        </w:rPr>
        <w:lastRenderedPageBreak/>
        <w:t>府制定经济政策的重中之重。在此背景下，上海要实现国际消费中心城市建设任务，需紧跟消费市场发展趋势，拓宽零售产业布局，有效促进消费市场扩容提质。本课题旨在利用多维度数据，对上海消费潜力进行评估，对其发展趋势和提振路径进行研究，为有关部门持续激活市场潜能、提</w:t>
      </w:r>
      <w:proofErr w:type="gramStart"/>
      <w:r w:rsidRPr="00DE2161">
        <w:rPr>
          <w:rFonts w:ascii="仿宋_GB2312" w:eastAsia="仿宋_GB2312" w:hint="eastAsia"/>
          <w:sz w:val="28"/>
          <w:szCs w:val="28"/>
        </w:rPr>
        <w:t>振消费</w:t>
      </w:r>
      <w:proofErr w:type="gramEnd"/>
      <w:r w:rsidRPr="00DE2161">
        <w:rPr>
          <w:rFonts w:ascii="仿宋_GB2312" w:eastAsia="仿宋_GB2312" w:hint="eastAsia"/>
          <w:sz w:val="28"/>
          <w:szCs w:val="28"/>
        </w:rPr>
        <w:t>提供有针对性的政策措施建议。</w:t>
      </w:r>
    </w:p>
    <w:p w14:paraId="42DF2B9A"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本课题重点研究但不限于以下方面</w:t>
      </w:r>
      <w:r w:rsidRPr="00DE2161">
        <w:rPr>
          <w:rFonts w:ascii="仿宋_GB2312" w:eastAsia="仿宋_GB2312" w:hint="eastAsia"/>
          <w:sz w:val="28"/>
          <w:szCs w:val="28"/>
        </w:rPr>
        <w:t>：</w:t>
      </w:r>
    </w:p>
    <w:p w14:paraId="0698843F"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1.总结国内外国际消费中心城市发展经验；</w:t>
      </w:r>
    </w:p>
    <w:p w14:paraId="24161B70"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2.梳理上海建设国际消费中心城市的要素条件，总结优势及不足；</w:t>
      </w:r>
    </w:p>
    <w:p w14:paraId="7F275427"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3.分析促进上海消费提振的潜力因素和增长点，研究消费扩容升级的路径和方法；</w:t>
      </w:r>
    </w:p>
    <w:p w14:paraId="22D44C6A"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4.提出针对性、操作性强的政策措施建议。</w:t>
      </w:r>
    </w:p>
    <w:p w14:paraId="458435E1"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三、城市居民收入与消费的国际比较研究</w:t>
      </w:r>
    </w:p>
    <w:p w14:paraId="7C13DB7E"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研究目的与要求：</w:t>
      </w:r>
    </w:p>
    <w:p w14:paraId="20D85A0D"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在“双循环”新发展格局下，上海作为中国最大的经济中心城市，正全力推动国际消费中心城市建设。本课题旨在通过国际比较，研究上海与主要国际城市居民收入和消费水平、增速及结构情况，探索收入分配优化与消费升级协同路径，提出增加居民收入、提</w:t>
      </w:r>
      <w:proofErr w:type="gramStart"/>
      <w:r w:rsidRPr="00DE2161">
        <w:rPr>
          <w:rFonts w:ascii="仿宋_GB2312" w:eastAsia="仿宋_GB2312" w:hint="eastAsia"/>
          <w:sz w:val="28"/>
          <w:szCs w:val="28"/>
        </w:rPr>
        <w:t>振市场</w:t>
      </w:r>
      <w:proofErr w:type="gramEnd"/>
      <w:r w:rsidRPr="00DE2161">
        <w:rPr>
          <w:rFonts w:ascii="仿宋_GB2312" w:eastAsia="仿宋_GB2312" w:hint="eastAsia"/>
          <w:sz w:val="28"/>
          <w:szCs w:val="28"/>
        </w:rPr>
        <w:t>消费的对策建议。</w:t>
      </w:r>
    </w:p>
    <w:p w14:paraId="27036025"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本课题重点研究但不限于以下方面：</w:t>
      </w:r>
    </w:p>
    <w:p w14:paraId="478C207E"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1.主要国际城市（上海与纽约、伦敦、东京、巴黎等）居民收入和消费水平、增速及结构情况；</w:t>
      </w:r>
    </w:p>
    <w:p w14:paraId="65C74C53"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2.从不同收入群体等维度研究主要国际城市居民收入和消费的</w:t>
      </w:r>
      <w:r w:rsidRPr="00DE2161">
        <w:rPr>
          <w:rFonts w:ascii="仿宋_GB2312" w:eastAsia="仿宋_GB2312" w:hint="eastAsia"/>
          <w:sz w:val="28"/>
          <w:szCs w:val="28"/>
        </w:rPr>
        <w:lastRenderedPageBreak/>
        <w:t>关系；</w:t>
      </w:r>
    </w:p>
    <w:p w14:paraId="29C80217"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3.主要国际城市消费升级与动力机制演变；</w:t>
      </w:r>
    </w:p>
    <w:p w14:paraId="79050272"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4.上海居民收入与消费的现状及增长瓶颈；</w:t>
      </w:r>
    </w:p>
    <w:p w14:paraId="503BC44D"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5.上海收入分配优化与消费升级的协同路径；</w:t>
      </w:r>
    </w:p>
    <w:p w14:paraId="1FE6A59A"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6.有针对性的对策建议。</w:t>
      </w:r>
    </w:p>
    <w:p w14:paraId="6E6BC070"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四、上海与国际大都市服务业发展比较研究</w:t>
      </w:r>
    </w:p>
    <w:p w14:paraId="36C26B12" w14:textId="77777777" w:rsidR="00B5745E" w:rsidRPr="00DE2161" w:rsidRDefault="00B5745E" w:rsidP="00DE2161">
      <w:pPr>
        <w:spacing w:line="360" w:lineRule="auto"/>
        <w:rPr>
          <w:rFonts w:ascii="仿宋_GB2312" w:eastAsia="仿宋_GB2312" w:hint="eastAsia"/>
          <w:b/>
          <w:bCs/>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研究目的与要求：</w:t>
      </w:r>
    </w:p>
    <w:p w14:paraId="5B92580C"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服务业发展作为上海经济增量的主导引擎，在上海坚持“四个放在”、强化“四大功能”、深化“五个中心”建设，持续提升城市能级和核心竞争力的过程中起到主体作用。对</w:t>
      </w:r>
      <w:proofErr w:type="gramStart"/>
      <w:r w:rsidRPr="00DE2161">
        <w:rPr>
          <w:rFonts w:ascii="仿宋_GB2312" w:eastAsia="仿宋_GB2312" w:hint="eastAsia"/>
          <w:sz w:val="28"/>
          <w:szCs w:val="28"/>
        </w:rPr>
        <w:t>标国际</w:t>
      </w:r>
      <w:proofErr w:type="gramEnd"/>
      <w:r w:rsidRPr="00DE2161">
        <w:rPr>
          <w:rFonts w:ascii="仿宋_GB2312" w:eastAsia="仿宋_GB2312" w:hint="eastAsia"/>
          <w:sz w:val="28"/>
          <w:szCs w:val="28"/>
        </w:rPr>
        <w:t>最高标准、最好水平，上海服务业发展依然存在一定差距。本课题旨在比较上海与主要国际大都市服务业发展水平，总结分析它们在服务业发展模式上的区别，研究提出有针对性的举措建议，为加快上海服务业创新发展、增强服务经济发展新动能，提高服务业国际竞争力提供参考。</w:t>
      </w:r>
    </w:p>
    <w:p w14:paraId="18489B47" w14:textId="77777777" w:rsidR="00B5745E" w:rsidRPr="00DE2161" w:rsidRDefault="00B5745E" w:rsidP="00DE2161">
      <w:pPr>
        <w:spacing w:line="360" w:lineRule="auto"/>
        <w:rPr>
          <w:rFonts w:ascii="仿宋_GB2312" w:eastAsia="仿宋_GB2312" w:hint="eastAsia"/>
          <w:b/>
          <w:bCs/>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本课题重点研究但不限于以下方面：</w:t>
      </w:r>
    </w:p>
    <w:p w14:paraId="3479C13E"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1.比较上海与主要国际大都市（纽约、伦敦、巴黎、东京、新加坡、中国香港等）服务业总量规模、产业结构、政策规划、数字化转型等方面情况；</w:t>
      </w:r>
    </w:p>
    <w:p w14:paraId="3DF7482E"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2.分析上海与主要国际大都市在服务业发展模式上的区别；</w:t>
      </w:r>
    </w:p>
    <w:p w14:paraId="5298F2B0"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3.对</w:t>
      </w:r>
      <w:proofErr w:type="gramStart"/>
      <w:r w:rsidRPr="00DE2161">
        <w:rPr>
          <w:rFonts w:ascii="仿宋_GB2312" w:eastAsia="仿宋_GB2312" w:hint="eastAsia"/>
          <w:sz w:val="28"/>
          <w:szCs w:val="28"/>
        </w:rPr>
        <w:t>标国际</w:t>
      </w:r>
      <w:proofErr w:type="gramEnd"/>
      <w:r w:rsidRPr="00DE2161">
        <w:rPr>
          <w:rFonts w:ascii="仿宋_GB2312" w:eastAsia="仿宋_GB2312" w:hint="eastAsia"/>
          <w:sz w:val="28"/>
          <w:szCs w:val="28"/>
        </w:rPr>
        <w:t>最高标准、最好水平，从服务业内部结构、主体发展、辐射能级、制度配给等方面分析上海与之存在的差距，以及产生差距背后的原因；</w:t>
      </w:r>
    </w:p>
    <w:p w14:paraId="50A32BF1"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lastRenderedPageBreak/>
        <w:t> </w:t>
      </w:r>
      <w:r w:rsidRPr="00DE2161">
        <w:rPr>
          <w:rFonts w:ascii="仿宋_GB2312" w:eastAsia="仿宋_GB2312" w:hint="eastAsia"/>
          <w:sz w:val="28"/>
          <w:szCs w:val="28"/>
        </w:rPr>
        <w:t> </w:t>
      </w:r>
      <w:r w:rsidRPr="00DE2161">
        <w:rPr>
          <w:rFonts w:ascii="仿宋_GB2312" w:eastAsia="仿宋_GB2312" w:hint="eastAsia"/>
          <w:sz w:val="28"/>
          <w:szCs w:val="28"/>
        </w:rPr>
        <w:t>4.立足本市实际，提出加快上海服务业创新发展的举措建议。</w:t>
      </w:r>
    </w:p>
    <w:p w14:paraId="1ED9ACDF"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五、上海劳动力就业与人口发展、人才吸引问题研究</w:t>
      </w:r>
    </w:p>
    <w:p w14:paraId="1FC9A534"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研究目的与要求：</w:t>
      </w:r>
    </w:p>
    <w:p w14:paraId="15D38C97"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在全球化与数字技术革命背景下，上海作为中国经济中心，劳动力就业市场正面临人口结构转型、人才竞争加剧等多重挑战。就业是民生之本、发展之基，本课题旨在系统分析上海市劳动力就业与人口发展趋势，分析劳动力供需矛盾、人才吸引瓶颈及外部环境挑战，结合国际经验与国内对标，提出优化劳动力市场结构、完善人才政策体系、增强就业市场活力的意见建议，为上海构建可持续的就业生态和人才高地提供决策支撑。</w:t>
      </w:r>
    </w:p>
    <w:p w14:paraId="6FC54861"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b/>
          <w:bCs/>
          <w:sz w:val="28"/>
          <w:szCs w:val="28"/>
        </w:rPr>
        <w:t> </w:t>
      </w:r>
      <w:r w:rsidRPr="00DE2161">
        <w:rPr>
          <w:rFonts w:ascii="仿宋_GB2312" w:eastAsia="仿宋_GB2312" w:hint="eastAsia"/>
          <w:b/>
          <w:bCs/>
          <w:sz w:val="28"/>
          <w:szCs w:val="28"/>
        </w:rPr>
        <w:t>本课题重点研究但不限于以下方面</w:t>
      </w:r>
      <w:r w:rsidRPr="00DE2161">
        <w:rPr>
          <w:rFonts w:ascii="仿宋_GB2312" w:eastAsia="仿宋_GB2312" w:hint="eastAsia"/>
          <w:sz w:val="28"/>
          <w:szCs w:val="28"/>
        </w:rPr>
        <w:t>：</w:t>
      </w:r>
    </w:p>
    <w:p w14:paraId="7E76B509"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1.上海劳动力就业现状；</w:t>
      </w:r>
    </w:p>
    <w:p w14:paraId="2B0C0797"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2.高中低端就业市场供需矛盾；</w:t>
      </w:r>
    </w:p>
    <w:p w14:paraId="078C064C"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3.高校毕业生就业现状与青年失业挑战；</w:t>
      </w:r>
    </w:p>
    <w:p w14:paraId="21DA4E4E"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4.人口发展趋势与人才吸引多维分析；</w:t>
      </w:r>
    </w:p>
    <w:p w14:paraId="4EFABEC2"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5.借鉴国际成熟经验与对</w:t>
      </w:r>
      <w:proofErr w:type="gramStart"/>
      <w:r w:rsidRPr="00DE2161">
        <w:rPr>
          <w:rFonts w:ascii="仿宋_GB2312" w:eastAsia="仿宋_GB2312" w:hint="eastAsia"/>
          <w:sz w:val="28"/>
          <w:szCs w:val="28"/>
        </w:rPr>
        <w:t>标国内</w:t>
      </w:r>
      <w:proofErr w:type="gramEnd"/>
      <w:r w:rsidRPr="00DE2161">
        <w:rPr>
          <w:rFonts w:ascii="仿宋_GB2312" w:eastAsia="仿宋_GB2312" w:hint="eastAsia"/>
          <w:sz w:val="28"/>
          <w:szCs w:val="28"/>
        </w:rPr>
        <w:t>先进路径，提出上海就业市场活力提升的意见建议。</w:t>
      </w:r>
    </w:p>
    <w:p w14:paraId="0474E9B4"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六、上海外来人口劳动力现状与趋势展望</w:t>
      </w:r>
    </w:p>
    <w:p w14:paraId="14364DF9" w14:textId="77777777" w:rsidR="00B5745E" w:rsidRPr="00DE2161" w:rsidRDefault="00B5745E" w:rsidP="00DE2161">
      <w:pPr>
        <w:spacing w:line="360" w:lineRule="auto"/>
        <w:rPr>
          <w:rFonts w:ascii="仿宋_GB2312" w:eastAsia="仿宋_GB2312" w:hint="eastAsia"/>
          <w:b/>
          <w:bCs/>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研究目的与要求：</w:t>
      </w:r>
    </w:p>
    <w:p w14:paraId="025A0A0D"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外来人口是上海常住人口增长以及劳动力补给的主要来源。近年来，随着上海出生率持续低迷，老龄化率显著提高，外来人口对城市经济社会发展的作用显得尤为重要。本课题旨在立足上海扎实推进高</w:t>
      </w:r>
      <w:r w:rsidRPr="00DE2161">
        <w:rPr>
          <w:rFonts w:ascii="仿宋_GB2312" w:eastAsia="仿宋_GB2312" w:hint="eastAsia"/>
          <w:sz w:val="28"/>
          <w:szCs w:val="28"/>
        </w:rPr>
        <w:lastRenderedPageBreak/>
        <w:t>质量发展、构建新发展格局战略任务要求，聚焦完善城市功能、提升就业吸引力等，全面梳理外来人口来沪留沪现状，进一步分析影响其流动的主要因素和存在的问题，并结合上海人口、经济社会发展变化实际，</w:t>
      </w:r>
      <w:proofErr w:type="gramStart"/>
      <w:r w:rsidRPr="00DE2161">
        <w:rPr>
          <w:rFonts w:ascii="仿宋_GB2312" w:eastAsia="仿宋_GB2312" w:hint="eastAsia"/>
          <w:sz w:val="28"/>
          <w:szCs w:val="28"/>
        </w:rPr>
        <w:t>研</w:t>
      </w:r>
      <w:proofErr w:type="gramEnd"/>
      <w:r w:rsidRPr="00DE2161">
        <w:rPr>
          <w:rFonts w:ascii="仿宋_GB2312" w:eastAsia="仿宋_GB2312" w:hint="eastAsia"/>
          <w:sz w:val="28"/>
          <w:szCs w:val="28"/>
        </w:rPr>
        <w:t>判中长期外来人口劳动力的规模、特征等变化趋势，研究提出推动外来人口集聚上海的思路和建议。</w:t>
      </w:r>
    </w:p>
    <w:p w14:paraId="534037DD" w14:textId="77777777" w:rsidR="00B5745E" w:rsidRPr="00DE2161" w:rsidRDefault="00B5745E" w:rsidP="00DE2161">
      <w:pPr>
        <w:spacing w:line="360" w:lineRule="auto"/>
        <w:rPr>
          <w:rFonts w:ascii="仿宋_GB2312" w:eastAsia="仿宋_GB2312" w:hint="eastAsia"/>
          <w:b/>
          <w:bCs/>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本课题重点研究但不限于以下方面：</w:t>
      </w:r>
    </w:p>
    <w:p w14:paraId="61ABFA65"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1.吸引外来人口助力上海经济社会发展面临的新形势和新要求；</w:t>
      </w:r>
    </w:p>
    <w:p w14:paraId="1DB1CEC2"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2.上海外来人口劳动力的现状以及存在的问题；</w:t>
      </w:r>
    </w:p>
    <w:p w14:paraId="4955A8B1"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3.影响外来人口流入的主要影响因素；</w:t>
      </w:r>
    </w:p>
    <w:p w14:paraId="76355B53"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4.上海中长期外来人口劳动力预判；</w:t>
      </w:r>
    </w:p>
    <w:p w14:paraId="77FD74DD"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5.有针对性的对策建议。</w:t>
      </w:r>
    </w:p>
    <w:p w14:paraId="517929E9"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七、基于经济普查的上海市物流体系与产业发展的空间融合研究</w:t>
      </w:r>
    </w:p>
    <w:p w14:paraId="3049B194"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研究目的与要求：</w:t>
      </w:r>
    </w:p>
    <w:p w14:paraId="162E3DC1"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物流在国民经济中发挥着先导性、基础性和战略性作用，降低全社会物流成本，构建完备的物流体系，统筹规划物流枢纽，形成统一高效、竞争有序的物流市场是提高经济运行效率、优化产业布局、促进新质生产力发展的重要途径。本课题旨在基于经济普查数据，叠加国土空间和相关调查调研数据，剖析上海物流行业发展的主要特征和存在问题，立足于优化产业空间布局、集聚产业发展优势，研究建立适应上海高质量发展需求的现代物流体系和空间格局，为“五个中心”建设与新质生产力发展提出具有针对性和可操作性的政策建议。</w:t>
      </w:r>
    </w:p>
    <w:p w14:paraId="0703D76E"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b/>
          <w:bCs/>
          <w:sz w:val="28"/>
          <w:szCs w:val="28"/>
        </w:rPr>
        <w:t>本课题重点研究但不限于以下方面：</w:t>
      </w:r>
    </w:p>
    <w:p w14:paraId="396C40EC"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lastRenderedPageBreak/>
        <w:t> </w:t>
      </w:r>
      <w:r w:rsidRPr="00DE2161">
        <w:rPr>
          <w:rFonts w:ascii="仿宋_GB2312" w:eastAsia="仿宋_GB2312" w:hint="eastAsia"/>
          <w:sz w:val="28"/>
          <w:szCs w:val="28"/>
        </w:rPr>
        <w:t> </w:t>
      </w:r>
      <w:r w:rsidRPr="00DE2161">
        <w:rPr>
          <w:rFonts w:ascii="仿宋_GB2312" w:eastAsia="仿宋_GB2312" w:hint="eastAsia"/>
          <w:sz w:val="28"/>
          <w:szCs w:val="28"/>
        </w:rPr>
        <w:t>1.分析上海市物流行业发展现状；</w:t>
      </w:r>
    </w:p>
    <w:p w14:paraId="09036CCA"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2.研究物流体系供给与产业发展需求的匹配情况；</w:t>
      </w:r>
    </w:p>
    <w:p w14:paraId="637126B2"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3.开展物流仓储用地绩效评估研究；</w:t>
      </w:r>
    </w:p>
    <w:p w14:paraId="06E6660A" w14:textId="77777777" w:rsidR="00B5745E" w:rsidRPr="00DE2161" w:rsidRDefault="00B5745E" w:rsidP="00DE2161">
      <w:pPr>
        <w:spacing w:line="360" w:lineRule="auto"/>
        <w:rPr>
          <w:rFonts w:ascii="仿宋_GB2312" w:eastAsia="仿宋_GB2312" w:hint="eastAsia"/>
          <w:sz w:val="28"/>
          <w:szCs w:val="28"/>
        </w:rPr>
      </w:pPr>
      <w:r w:rsidRPr="00DE2161">
        <w:rPr>
          <w:rFonts w:ascii="仿宋_GB2312" w:eastAsia="仿宋_GB2312" w:hint="eastAsia"/>
          <w:sz w:val="28"/>
          <w:szCs w:val="28"/>
        </w:rPr>
        <w:t> </w:t>
      </w:r>
      <w:r w:rsidRPr="00DE2161">
        <w:rPr>
          <w:rFonts w:ascii="仿宋_GB2312" w:eastAsia="仿宋_GB2312" w:hint="eastAsia"/>
          <w:sz w:val="28"/>
          <w:szCs w:val="28"/>
        </w:rPr>
        <w:t> </w:t>
      </w:r>
      <w:r w:rsidRPr="00DE2161">
        <w:rPr>
          <w:rFonts w:ascii="仿宋_GB2312" w:eastAsia="仿宋_GB2312" w:hint="eastAsia"/>
          <w:sz w:val="28"/>
          <w:szCs w:val="28"/>
        </w:rPr>
        <w:t>4.提出物流体系支撑产业发展的具体思路和关键举措。</w:t>
      </w:r>
    </w:p>
    <w:p w14:paraId="0982E063" w14:textId="77777777" w:rsidR="00AF7F19" w:rsidRPr="00DE2161" w:rsidRDefault="00AF7F19" w:rsidP="00DE2161">
      <w:pPr>
        <w:spacing w:line="360" w:lineRule="auto"/>
        <w:rPr>
          <w:rFonts w:ascii="仿宋_GB2312" w:eastAsia="仿宋_GB2312" w:hint="eastAsia"/>
          <w:sz w:val="28"/>
          <w:szCs w:val="28"/>
        </w:rPr>
      </w:pPr>
    </w:p>
    <w:sectPr w:rsidR="00AF7F19" w:rsidRPr="00DE216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9DF1FF" w14:textId="77777777" w:rsidR="00766F10" w:rsidRDefault="00766F10" w:rsidP="00DE2161">
      <w:pPr>
        <w:rPr>
          <w:rFonts w:hint="eastAsia"/>
        </w:rPr>
      </w:pPr>
      <w:r>
        <w:separator/>
      </w:r>
    </w:p>
  </w:endnote>
  <w:endnote w:type="continuationSeparator" w:id="0">
    <w:p w14:paraId="7E36FDBE" w14:textId="77777777" w:rsidR="00766F10" w:rsidRDefault="00766F10" w:rsidP="00DE216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0349324"/>
      <w:docPartObj>
        <w:docPartGallery w:val="Page Numbers (Bottom of Page)"/>
        <w:docPartUnique/>
      </w:docPartObj>
    </w:sdtPr>
    <w:sdtContent>
      <w:p w14:paraId="3928358F" w14:textId="28B5F53A" w:rsidR="00DE2161" w:rsidRDefault="00DE2161">
        <w:pPr>
          <w:pStyle w:val="af0"/>
          <w:jc w:val="center"/>
          <w:rPr>
            <w:rFonts w:hint="eastAsia"/>
          </w:rPr>
        </w:pPr>
        <w:r>
          <w:fldChar w:fldCharType="begin"/>
        </w:r>
        <w:r>
          <w:instrText>PAGE   \* MERGEFORMAT</w:instrText>
        </w:r>
        <w:r>
          <w:fldChar w:fldCharType="separate"/>
        </w:r>
        <w:r>
          <w:rPr>
            <w:lang w:val="zh-CN"/>
          </w:rPr>
          <w:t>2</w:t>
        </w:r>
        <w:r>
          <w:fldChar w:fldCharType="end"/>
        </w:r>
      </w:p>
    </w:sdtContent>
  </w:sdt>
  <w:p w14:paraId="3A370A07" w14:textId="77777777" w:rsidR="00DE2161" w:rsidRDefault="00DE2161">
    <w:pPr>
      <w:pStyle w:val="af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16DE0E" w14:textId="77777777" w:rsidR="00766F10" w:rsidRDefault="00766F10" w:rsidP="00DE2161">
      <w:pPr>
        <w:rPr>
          <w:rFonts w:hint="eastAsia"/>
        </w:rPr>
      </w:pPr>
      <w:r>
        <w:separator/>
      </w:r>
    </w:p>
  </w:footnote>
  <w:footnote w:type="continuationSeparator" w:id="0">
    <w:p w14:paraId="38D52B42" w14:textId="77777777" w:rsidR="00766F10" w:rsidRDefault="00766F10" w:rsidP="00DE2161">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137"/>
    <w:rsid w:val="005D1F6E"/>
    <w:rsid w:val="00766F10"/>
    <w:rsid w:val="009C388B"/>
    <w:rsid w:val="009F3D35"/>
    <w:rsid w:val="00AF7F19"/>
    <w:rsid w:val="00B5745E"/>
    <w:rsid w:val="00DE2161"/>
    <w:rsid w:val="00E54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5EB3A8"/>
  <w15:chartTrackingRefBased/>
  <w15:docId w15:val="{5AF66D8E-E951-4C9F-9B93-0272CC4C3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5413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E5413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E5413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E54137"/>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E54137"/>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E54137"/>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E54137"/>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E54137"/>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E54137"/>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54137"/>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E54137"/>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E54137"/>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E54137"/>
    <w:rPr>
      <w:rFonts w:cstheme="majorBidi"/>
      <w:color w:val="0F4761" w:themeColor="accent1" w:themeShade="BF"/>
      <w:sz w:val="28"/>
      <w:szCs w:val="28"/>
    </w:rPr>
  </w:style>
  <w:style w:type="character" w:customStyle="1" w:styleId="50">
    <w:name w:val="标题 5 字符"/>
    <w:basedOn w:val="a0"/>
    <w:link w:val="5"/>
    <w:uiPriority w:val="9"/>
    <w:semiHidden/>
    <w:rsid w:val="00E54137"/>
    <w:rPr>
      <w:rFonts w:cstheme="majorBidi"/>
      <w:color w:val="0F4761" w:themeColor="accent1" w:themeShade="BF"/>
      <w:sz w:val="24"/>
      <w:szCs w:val="24"/>
    </w:rPr>
  </w:style>
  <w:style w:type="character" w:customStyle="1" w:styleId="60">
    <w:name w:val="标题 6 字符"/>
    <w:basedOn w:val="a0"/>
    <w:link w:val="6"/>
    <w:uiPriority w:val="9"/>
    <w:semiHidden/>
    <w:rsid w:val="00E54137"/>
    <w:rPr>
      <w:rFonts w:cstheme="majorBidi"/>
      <w:b/>
      <w:bCs/>
      <w:color w:val="0F4761" w:themeColor="accent1" w:themeShade="BF"/>
    </w:rPr>
  </w:style>
  <w:style w:type="character" w:customStyle="1" w:styleId="70">
    <w:name w:val="标题 7 字符"/>
    <w:basedOn w:val="a0"/>
    <w:link w:val="7"/>
    <w:uiPriority w:val="9"/>
    <w:semiHidden/>
    <w:rsid w:val="00E54137"/>
    <w:rPr>
      <w:rFonts w:cstheme="majorBidi"/>
      <w:b/>
      <w:bCs/>
      <w:color w:val="595959" w:themeColor="text1" w:themeTint="A6"/>
    </w:rPr>
  </w:style>
  <w:style w:type="character" w:customStyle="1" w:styleId="80">
    <w:name w:val="标题 8 字符"/>
    <w:basedOn w:val="a0"/>
    <w:link w:val="8"/>
    <w:uiPriority w:val="9"/>
    <w:semiHidden/>
    <w:rsid w:val="00E54137"/>
    <w:rPr>
      <w:rFonts w:cstheme="majorBidi"/>
      <w:color w:val="595959" w:themeColor="text1" w:themeTint="A6"/>
    </w:rPr>
  </w:style>
  <w:style w:type="character" w:customStyle="1" w:styleId="90">
    <w:name w:val="标题 9 字符"/>
    <w:basedOn w:val="a0"/>
    <w:link w:val="9"/>
    <w:uiPriority w:val="9"/>
    <w:semiHidden/>
    <w:rsid w:val="00E54137"/>
    <w:rPr>
      <w:rFonts w:eastAsiaTheme="majorEastAsia" w:cstheme="majorBidi"/>
      <w:color w:val="595959" w:themeColor="text1" w:themeTint="A6"/>
    </w:rPr>
  </w:style>
  <w:style w:type="paragraph" w:styleId="a3">
    <w:name w:val="Title"/>
    <w:basedOn w:val="a"/>
    <w:next w:val="a"/>
    <w:link w:val="a4"/>
    <w:uiPriority w:val="10"/>
    <w:qFormat/>
    <w:rsid w:val="00E54137"/>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E5413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5413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E5413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54137"/>
    <w:pPr>
      <w:spacing w:before="160" w:after="160"/>
      <w:jc w:val="center"/>
    </w:pPr>
    <w:rPr>
      <w:i/>
      <w:iCs/>
      <w:color w:val="404040" w:themeColor="text1" w:themeTint="BF"/>
    </w:rPr>
  </w:style>
  <w:style w:type="character" w:customStyle="1" w:styleId="a8">
    <w:name w:val="引用 字符"/>
    <w:basedOn w:val="a0"/>
    <w:link w:val="a7"/>
    <w:uiPriority w:val="29"/>
    <w:rsid w:val="00E54137"/>
    <w:rPr>
      <w:i/>
      <w:iCs/>
      <w:color w:val="404040" w:themeColor="text1" w:themeTint="BF"/>
    </w:rPr>
  </w:style>
  <w:style w:type="paragraph" w:styleId="a9">
    <w:name w:val="List Paragraph"/>
    <w:basedOn w:val="a"/>
    <w:uiPriority w:val="34"/>
    <w:qFormat/>
    <w:rsid w:val="00E54137"/>
    <w:pPr>
      <w:ind w:left="720"/>
      <w:contextualSpacing/>
    </w:pPr>
  </w:style>
  <w:style w:type="character" w:styleId="aa">
    <w:name w:val="Intense Emphasis"/>
    <w:basedOn w:val="a0"/>
    <w:uiPriority w:val="21"/>
    <w:qFormat/>
    <w:rsid w:val="00E54137"/>
    <w:rPr>
      <w:i/>
      <w:iCs/>
      <w:color w:val="0F4761" w:themeColor="accent1" w:themeShade="BF"/>
    </w:rPr>
  </w:style>
  <w:style w:type="paragraph" w:styleId="ab">
    <w:name w:val="Intense Quote"/>
    <w:basedOn w:val="a"/>
    <w:next w:val="a"/>
    <w:link w:val="ac"/>
    <w:uiPriority w:val="30"/>
    <w:qFormat/>
    <w:rsid w:val="00E541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E54137"/>
    <w:rPr>
      <w:i/>
      <w:iCs/>
      <w:color w:val="0F4761" w:themeColor="accent1" w:themeShade="BF"/>
    </w:rPr>
  </w:style>
  <w:style w:type="character" w:styleId="ad">
    <w:name w:val="Intense Reference"/>
    <w:basedOn w:val="a0"/>
    <w:uiPriority w:val="32"/>
    <w:qFormat/>
    <w:rsid w:val="00E54137"/>
    <w:rPr>
      <w:b/>
      <w:bCs/>
      <w:smallCaps/>
      <w:color w:val="0F4761" w:themeColor="accent1" w:themeShade="BF"/>
      <w:spacing w:val="5"/>
    </w:rPr>
  </w:style>
  <w:style w:type="paragraph" w:styleId="ae">
    <w:name w:val="header"/>
    <w:basedOn w:val="a"/>
    <w:link w:val="af"/>
    <w:uiPriority w:val="99"/>
    <w:unhideWhenUsed/>
    <w:rsid w:val="00DE2161"/>
    <w:pPr>
      <w:tabs>
        <w:tab w:val="center" w:pos="4153"/>
        <w:tab w:val="right" w:pos="8306"/>
      </w:tabs>
      <w:snapToGrid w:val="0"/>
      <w:jc w:val="center"/>
    </w:pPr>
    <w:rPr>
      <w:sz w:val="18"/>
      <w:szCs w:val="18"/>
    </w:rPr>
  </w:style>
  <w:style w:type="character" w:customStyle="1" w:styleId="af">
    <w:name w:val="页眉 字符"/>
    <w:basedOn w:val="a0"/>
    <w:link w:val="ae"/>
    <w:uiPriority w:val="99"/>
    <w:rsid w:val="00DE2161"/>
    <w:rPr>
      <w:sz w:val="18"/>
      <w:szCs w:val="18"/>
    </w:rPr>
  </w:style>
  <w:style w:type="paragraph" w:styleId="af0">
    <w:name w:val="footer"/>
    <w:basedOn w:val="a"/>
    <w:link w:val="af1"/>
    <w:uiPriority w:val="99"/>
    <w:unhideWhenUsed/>
    <w:rsid w:val="00DE2161"/>
    <w:pPr>
      <w:tabs>
        <w:tab w:val="center" w:pos="4153"/>
        <w:tab w:val="right" w:pos="8306"/>
      </w:tabs>
      <w:snapToGrid w:val="0"/>
      <w:jc w:val="left"/>
    </w:pPr>
    <w:rPr>
      <w:sz w:val="18"/>
      <w:szCs w:val="18"/>
    </w:rPr>
  </w:style>
  <w:style w:type="character" w:customStyle="1" w:styleId="af1">
    <w:name w:val="页脚 字符"/>
    <w:basedOn w:val="a0"/>
    <w:link w:val="af0"/>
    <w:uiPriority w:val="99"/>
    <w:rsid w:val="00DE2161"/>
    <w:rPr>
      <w:sz w:val="18"/>
      <w:szCs w:val="18"/>
    </w:rPr>
  </w:style>
  <w:style w:type="character" w:styleId="af2">
    <w:name w:val="Hyperlink"/>
    <w:basedOn w:val="a0"/>
    <w:uiPriority w:val="99"/>
    <w:unhideWhenUsed/>
    <w:rsid w:val="00DE2161"/>
    <w:rPr>
      <w:color w:val="467886" w:themeColor="hyperlink"/>
      <w:u w:val="single"/>
    </w:rPr>
  </w:style>
  <w:style w:type="character" w:styleId="af3">
    <w:name w:val="Unresolved Mention"/>
    <w:basedOn w:val="a0"/>
    <w:uiPriority w:val="99"/>
    <w:semiHidden/>
    <w:unhideWhenUsed/>
    <w:rsid w:val="00DE21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2908147">
      <w:bodyDiv w:val="1"/>
      <w:marLeft w:val="0"/>
      <w:marRight w:val="0"/>
      <w:marTop w:val="0"/>
      <w:marBottom w:val="0"/>
      <w:divBdr>
        <w:top w:val="none" w:sz="0" w:space="0" w:color="auto"/>
        <w:left w:val="none" w:sz="0" w:space="0" w:color="auto"/>
        <w:bottom w:val="none" w:sz="0" w:space="0" w:color="auto"/>
        <w:right w:val="none" w:sz="0" w:space="0" w:color="auto"/>
      </w:divBdr>
      <w:divsChild>
        <w:div w:id="234584443">
          <w:marLeft w:val="0"/>
          <w:marRight w:val="0"/>
          <w:marTop w:val="150"/>
          <w:marBottom w:val="150"/>
          <w:divBdr>
            <w:top w:val="none" w:sz="0" w:space="0" w:color="auto"/>
            <w:left w:val="none" w:sz="0" w:space="0" w:color="auto"/>
            <w:bottom w:val="none" w:sz="0" w:space="0" w:color="auto"/>
            <w:right w:val="none" w:sz="0" w:space="0" w:color="auto"/>
          </w:divBdr>
        </w:div>
        <w:div w:id="1564023649">
          <w:marLeft w:val="0"/>
          <w:marRight w:val="0"/>
          <w:marTop w:val="75"/>
          <w:marBottom w:val="75"/>
          <w:divBdr>
            <w:top w:val="none" w:sz="0" w:space="0" w:color="auto"/>
            <w:left w:val="none" w:sz="0" w:space="0" w:color="auto"/>
            <w:bottom w:val="none" w:sz="0" w:space="0" w:color="auto"/>
            <w:right w:val="none" w:sz="0" w:space="0" w:color="auto"/>
          </w:divBdr>
          <w:divsChild>
            <w:div w:id="491408061">
              <w:marLeft w:val="105"/>
              <w:marRight w:val="105"/>
              <w:marTop w:val="0"/>
              <w:marBottom w:val="0"/>
              <w:divBdr>
                <w:top w:val="none" w:sz="0" w:space="0" w:color="auto"/>
                <w:left w:val="none" w:sz="0" w:space="0" w:color="auto"/>
                <w:bottom w:val="none" w:sz="0" w:space="0" w:color="auto"/>
                <w:right w:val="none" w:sz="0" w:space="0" w:color="auto"/>
              </w:divBdr>
            </w:div>
            <w:div w:id="1685739038">
              <w:marLeft w:val="105"/>
              <w:marRight w:val="105"/>
              <w:marTop w:val="0"/>
              <w:marBottom w:val="0"/>
              <w:divBdr>
                <w:top w:val="none" w:sz="0" w:space="0" w:color="auto"/>
                <w:left w:val="none" w:sz="0" w:space="0" w:color="auto"/>
                <w:bottom w:val="none" w:sz="0" w:space="0" w:color="auto"/>
                <w:right w:val="none" w:sz="0" w:space="0" w:color="auto"/>
              </w:divBdr>
            </w:div>
            <w:div w:id="1451977618">
              <w:marLeft w:val="105"/>
              <w:marRight w:val="105"/>
              <w:marTop w:val="0"/>
              <w:marBottom w:val="0"/>
              <w:divBdr>
                <w:top w:val="none" w:sz="0" w:space="0" w:color="auto"/>
                <w:left w:val="none" w:sz="0" w:space="0" w:color="auto"/>
                <w:bottom w:val="none" w:sz="0" w:space="0" w:color="auto"/>
                <w:right w:val="none" w:sz="0" w:space="0" w:color="auto"/>
              </w:divBdr>
            </w:div>
          </w:divsChild>
        </w:div>
        <w:div w:id="1829591685">
          <w:marLeft w:val="0"/>
          <w:marRight w:val="0"/>
          <w:marTop w:val="150"/>
          <w:marBottom w:val="150"/>
          <w:divBdr>
            <w:top w:val="none" w:sz="0" w:space="0" w:color="auto"/>
            <w:left w:val="none" w:sz="0" w:space="0" w:color="auto"/>
            <w:bottom w:val="none" w:sz="0" w:space="0" w:color="auto"/>
            <w:right w:val="none" w:sz="0" w:space="0" w:color="auto"/>
          </w:divBdr>
        </w:div>
      </w:divsChild>
    </w:div>
    <w:div w:id="908928405">
      <w:bodyDiv w:val="1"/>
      <w:marLeft w:val="0"/>
      <w:marRight w:val="0"/>
      <w:marTop w:val="0"/>
      <w:marBottom w:val="0"/>
      <w:divBdr>
        <w:top w:val="none" w:sz="0" w:space="0" w:color="auto"/>
        <w:left w:val="none" w:sz="0" w:space="0" w:color="auto"/>
        <w:bottom w:val="none" w:sz="0" w:space="0" w:color="auto"/>
        <w:right w:val="none" w:sz="0" w:space="0" w:color="auto"/>
      </w:divBdr>
      <w:divsChild>
        <w:div w:id="686714625">
          <w:marLeft w:val="0"/>
          <w:marRight w:val="0"/>
          <w:marTop w:val="150"/>
          <w:marBottom w:val="150"/>
          <w:divBdr>
            <w:top w:val="none" w:sz="0" w:space="0" w:color="auto"/>
            <w:left w:val="none" w:sz="0" w:space="0" w:color="auto"/>
            <w:bottom w:val="none" w:sz="0" w:space="0" w:color="auto"/>
            <w:right w:val="none" w:sz="0" w:space="0" w:color="auto"/>
          </w:divBdr>
        </w:div>
        <w:div w:id="384455696">
          <w:marLeft w:val="0"/>
          <w:marRight w:val="0"/>
          <w:marTop w:val="75"/>
          <w:marBottom w:val="75"/>
          <w:divBdr>
            <w:top w:val="none" w:sz="0" w:space="0" w:color="auto"/>
            <w:left w:val="none" w:sz="0" w:space="0" w:color="auto"/>
            <w:bottom w:val="none" w:sz="0" w:space="0" w:color="auto"/>
            <w:right w:val="none" w:sz="0" w:space="0" w:color="auto"/>
          </w:divBdr>
          <w:divsChild>
            <w:div w:id="557473852">
              <w:marLeft w:val="105"/>
              <w:marRight w:val="105"/>
              <w:marTop w:val="0"/>
              <w:marBottom w:val="0"/>
              <w:divBdr>
                <w:top w:val="none" w:sz="0" w:space="0" w:color="auto"/>
                <w:left w:val="none" w:sz="0" w:space="0" w:color="auto"/>
                <w:bottom w:val="none" w:sz="0" w:space="0" w:color="auto"/>
                <w:right w:val="none" w:sz="0" w:space="0" w:color="auto"/>
              </w:divBdr>
            </w:div>
            <w:div w:id="2145389600">
              <w:marLeft w:val="105"/>
              <w:marRight w:val="105"/>
              <w:marTop w:val="0"/>
              <w:marBottom w:val="0"/>
              <w:divBdr>
                <w:top w:val="none" w:sz="0" w:space="0" w:color="auto"/>
                <w:left w:val="none" w:sz="0" w:space="0" w:color="auto"/>
                <w:bottom w:val="none" w:sz="0" w:space="0" w:color="auto"/>
                <w:right w:val="none" w:sz="0" w:space="0" w:color="auto"/>
              </w:divBdr>
            </w:div>
            <w:div w:id="759107225">
              <w:marLeft w:val="105"/>
              <w:marRight w:val="105"/>
              <w:marTop w:val="0"/>
              <w:marBottom w:val="0"/>
              <w:divBdr>
                <w:top w:val="none" w:sz="0" w:space="0" w:color="auto"/>
                <w:left w:val="none" w:sz="0" w:space="0" w:color="auto"/>
                <w:bottom w:val="none" w:sz="0" w:space="0" w:color="auto"/>
                <w:right w:val="none" w:sz="0" w:space="0" w:color="auto"/>
              </w:divBdr>
            </w:div>
          </w:divsChild>
        </w:div>
        <w:div w:id="268054389">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zys@tjj.shanghai.gov.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615</Words>
  <Characters>3512</Characters>
  <Application>Microsoft Office Word</Application>
  <DocSecurity>0</DocSecurity>
  <Lines>29</Lines>
  <Paragraphs>8</Paragraphs>
  <ScaleCrop>false</ScaleCrop>
  <Company/>
  <LinksUpToDate>false</LinksUpToDate>
  <CharactersWithSpaces>4119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c</dc:creator>
  <cp:keywords/>
  <dc:description/>
  <cp:lastModifiedBy>l c</cp:lastModifiedBy>
  <cp:revision>3</cp:revision>
  <dcterms:created xsi:type="dcterms:W3CDTF">2025-04-29T13:41:00Z</dcterms:created>
  <dcterms:modified xsi:type="dcterms:W3CDTF">2025-04-29T14:41:00Z</dcterms:modified>
</cp:coreProperties>
</file>