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79FB" w:rsidRPr="00524B29" w:rsidRDefault="009E79FB" w:rsidP="00524B29">
      <w:pPr>
        <w:pStyle w:val="a3"/>
        <w:shd w:val="clear" w:color="auto" w:fill="FEFEFE"/>
        <w:adjustRightInd w:val="0"/>
        <w:snapToGrid w:val="0"/>
        <w:spacing w:before="0" w:beforeAutospacing="0" w:after="0" w:afterAutospacing="0" w:line="360" w:lineRule="auto"/>
        <w:jc w:val="center"/>
        <w:rPr>
          <w:rFonts w:ascii="方正小标宋简体" w:eastAsia="方正小标宋简体" w:hAnsi="微软雅黑" w:hint="eastAsia"/>
          <w:color w:val="000000"/>
          <w:sz w:val="32"/>
          <w:szCs w:val="32"/>
        </w:rPr>
      </w:pPr>
      <w:r w:rsidRPr="00524B29">
        <w:rPr>
          <w:rFonts w:ascii="方正小标宋简体" w:eastAsia="方正小标宋简体" w:hAnsi="微软雅黑" w:hint="eastAsia"/>
          <w:bCs/>
          <w:color w:val="000000"/>
          <w:sz w:val="32"/>
          <w:szCs w:val="32"/>
          <w:shd w:val="clear" w:color="auto" w:fill="FEFEFE"/>
        </w:rPr>
        <w:t>2025年度决策咨询研究教育政策专项课题申报通知</w:t>
      </w:r>
    </w:p>
    <w:p w:rsid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r w:rsidRPr="00524B29">
        <w:rPr>
          <w:rFonts w:ascii="仿宋_GB2312" w:eastAsia="仿宋_GB2312" w:hAnsi="微软雅黑" w:hint="eastAsia"/>
          <w:color w:val="000000"/>
          <w:sz w:val="32"/>
          <w:szCs w:val="32"/>
        </w:rPr>
        <w:t> </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各有关单位：</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现将2025年度决策咨询研究教育政策专项课题面向社会公开征集研究团队。具体事项通知如下：</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黑体" w:eastAsia="黑体" w:hAnsi="黑体" w:hint="eastAsia"/>
          <w:b/>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黑体" w:eastAsia="黑体" w:hAnsi="黑体" w:hint="eastAsia"/>
          <w:b w:val="0"/>
          <w:color w:val="000000"/>
          <w:sz w:val="32"/>
          <w:szCs w:val="32"/>
        </w:rPr>
        <w:t>一、申报目录</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1.上海高校分类评价新机制研究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2.产教融合的应用型本科高校建设模式探索</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3.上海高校集聚区优化提升的改革路径研究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4.教育强国背景下上海民办教育高质量发展定位与路径研究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5.构建上海高质量现代职业教育体系研究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6.新城高中教育综合改革研究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7.人工智能赋能拔尖创新人才早期发现和培养机制研究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8.基础教育高质量增值性评价体系研究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9.新时代系统推进“大思政课”试验体系建设研究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10.高质量引领下的上海市教材管理创新机制研究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Style w:val="a4"/>
          <w:rFonts w:ascii="黑体" w:eastAsia="黑体" w:hAnsi="黑体" w:hint="eastAsia"/>
        </w:rPr>
        <w:t> </w:t>
      </w:r>
      <w:r w:rsidRPr="00524B29">
        <w:rPr>
          <w:rStyle w:val="a4"/>
          <w:rFonts w:ascii="黑体" w:eastAsia="黑体" w:hAnsi="黑体" w:hint="eastAsia"/>
          <w:b w:val="0"/>
          <w:color w:val="000000"/>
          <w:sz w:val="32"/>
          <w:szCs w:val="32"/>
        </w:rPr>
        <w:t>二、申报范围</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本次申报面向本市高等院校、科研机构、社会团体等单位。</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Style w:val="a4"/>
          <w:rFonts w:ascii="黑体" w:eastAsia="黑体" w:hAnsi="黑体" w:hint="eastAsia"/>
          <w:b w:val="0"/>
          <w:sz w:val="32"/>
          <w:szCs w:val="32"/>
        </w:rPr>
        <w:t> </w:t>
      </w:r>
      <w:r w:rsidRPr="00524B29">
        <w:rPr>
          <w:rStyle w:val="a4"/>
          <w:rFonts w:ascii="黑体" w:eastAsia="黑体" w:hAnsi="黑体" w:hint="eastAsia"/>
          <w:b w:val="0"/>
          <w:sz w:val="32"/>
          <w:szCs w:val="32"/>
        </w:rPr>
        <w:t>三、申报条件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lastRenderedPageBreak/>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项目申请人应符合以下条件：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1.遵守中华人民共和国宪法和法律。</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2.须是申请单位的全职在岗人员。</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3.须是课题的实际主持者，熟悉决策咨询研究工作，并具有与所申报课题相关的研究基础。</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E203B1">
        <w:rPr>
          <w:rFonts w:ascii="仿宋_GB2312" w:eastAsia="仿宋_GB2312" w:hAnsi="微软雅黑" w:hint="eastAsia"/>
          <w:b/>
          <w:color w:val="000000"/>
          <w:sz w:val="32"/>
          <w:szCs w:val="32"/>
        </w:rPr>
        <w:t>4.在申报截止日之前，已作为课题负责人承担在</w:t>
      </w:r>
      <w:proofErr w:type="gramStart"/>
      <w:r w:rsidRPr="00E203B1">
        <w:rPr>
          <w:rFonts w:ascii="仿宋_GB2312" w:eastAsia="仿宋_GB2312" w:hAnsi="微软雅黑" w:hint="eastAsia"/>
          <w:b/>
          <w:color w:val="000000"/>
          <w:sz w:val="32"/>
          <w:szCs w:val="32"/>
        </w:rPr>
        <w:t>研</w:t>
      </w:r>
      <w:proofErr w:type="gramEnd"/>
      <w:r w:rsidRPr="00E203B1">
        <w:rPr>
          <w:rFonts w:ascii="仿宋_GB2312" w:eastAsia="仿宋_GB2312" w:hAnsi="微软雅黑" w:hint="eastAsia"/>
          <w:b/>
          <w:color w:val="000000"/>
          <w:sz w:val="32"/>
          <w:szCs w:val="32"/>
        </w:rPr>
        <w:t>的省部级及以上课题的人员，不得申请。</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5.不得以本人或课题组已获得过资助的课题，内容相同或相近选题申报教育政策专项课题。</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6.申请人应具有副高级及以上专业技术职称（职务），或者具有博士学位。</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Style w:val="a4"/>
          <w:rFonts w:ascii="黑体" w:eastAsia="黑体" w:hAnsi="黑体" w:hint="eastAsia"/>
        </w:rPr>
        <w:t> </w:t>
      </w:r>
      <w:r w:rsidRPr="00524B29">
        <w:rPr>
          <w:rStyle w:val="a4"/>
          <w:rFonts w:ascii="黑体" w:eastAsia="黑体" w:hAnsi="黑体" w:hint="eastAsia"/>
          <w:b w:val="0"/>
          <w:sz w:val="32"/>
          <w:szCs w:val="32"/>
        </w:rPr>
        <w:t>四、申报方式及程序</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1.申报方式：采用网上申报方式，无需提交纸质材料。申请人通过登录上海市人民政府发展研究中心网站（http://www.fzzx.sh.gov.cn）——“课题申报”栏目——“决策咨询研究项目管理平台”进行申报。</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2.申报步骤：</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w:t>
      </w:r>
      <w:r w:rsidR="00E203B1">
        <w:rPr>
          <w:rFonts w:ascii="仿宋_GB2312" w:eastAsia="仿宋_GB2312" w:hAnsi="微软雅黑"/>
          <w:color w:val="000000"/>
          <w:sz w:val="32"/>
          <w:szCs w:val="32"/>
        </w:rPr>
        <w:t>1</w:t>
      </w:r>
      <w:r w:rsidRPr="00524B29">
        <w:rPr>
          <w:rFonts w:ascii="仿宋_GB2312" w:eastAsia="仿宋_GB2312" w:hAnsi="微软雅黑" w:hint="eastAsia"/>
          <w:color w:val="000000"/>
          <w:sz w:val="32"/>
          <w:szCs w:val="32"/>
        </w:rPr>
        <w:t>）申请人注册并完成实名认证（已注册用户可直接登录）；</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w:t>
      </w:r>
      <w:r w:rsidR="00E203B1">
        <w:rPr>
          <w:rFonts w:ascii="仿宋_GB2312" w:eastAsia="仿宋_GB2312" w:hAnsi="微软雅黑"/>
          <w:color w:val="000000"/>
          <w:sz w:val="32"/>
          <w:szCs w:val="32"/>
        </w:rPr>
        <w:t>2</w:t>
      </w:r>
      <w:r w:rsidRPr="00524B29">
        <w:rPr>
          <w:rFonts w:ascii="仿宋_GB2312" w:eastAsia="仿宋_GB2312" w:hAnsi="微软雅黑" w:hint="eastAsia"/>
          <w:color w:val="000000"/>
          <w:sz w:val="32"/>
          <w:szCs w:val="32"/>
        </w:rPr>
        <w:t>）申请人填写提交申报材料；</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w:t>
      </w:r>
      <w:r w:rsidR="00E203B1">
        <w:rPr>
          <w:rFonts w:ascii="仿宋_GB2312" w:eastAsia="仿宋_GB2312" w:hAnsi="微软雅黑"/>
          <w:color w:val="000000"/>
          <w:sz w:val="32"/>
          <w:szCs w:val="32"/>
        </w:rPr>
        <w:t>3</w:t>
      </w:r>
      <w:r w:rsidRPr="00524B29">
        <w:rPr>
          <w:rFonts w:ascii="仿宋_GB2312" w:eastAsia="仿宋_GB2312" w:hAnsi="微软雅黑" w:hint="eastAsia"/>
          <w:color w:val="000000"/>
          <w:sz w:val="32"/>
          <w:szCs w:val="32"/>
        </w:rPr>
        <w:t>）申请人所在单位完成网上审核。</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lastRenderedPageBreak/>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3.课题指南获取：登录上海市人民政府发展研究中心网站查阅《2025年度决策咨询研究教育政策专项课题指南》。</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4.申报数量限制：</w:t>
      </w:r>
      <w:r w:rsidRPr="00E203B1">
        <w:rPr>
          <w:rFonts w:ascii="仿宋_GB2312" w:eastAsia="仿宋_GB2312" w:hAnsi="微软雅黑" w:hint="eastAsia"/>
          <w:b/>
          <w:color w:val="000000"/>
          <w:sz w:val="32"/>
          <w:szCs w:val="32"/>
        </w:rPr>
        <w:t>同一申请人限申报1项。</w:t>
      </w:r>
    </w:p>
    <w:p w:rsidR="009E79FB" w:rsidRPr="00E203B1"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b/>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5.在线填写要求：申请人应仔细阅读课题指南和填表说明；申报材料应简明扼要，突出重点和关键，</w:t>
      </w:r>
      <w:r w:rsidRPr="00E203B1">
        <w:rPr>
          <w:rFonts w:ascii="仿宋_GB2312" w:eastAsia="仿宋_GB2312" w:hAnsi="微软雅黑" w:hint="eastAsia"/>
          <w:b/>
          <w:color w:val="000000"/>
          <w:sz w:val="32"/>
          <w:szCs w:val="32"/>
        </w:rPr>
        <w:t>其中《课题论证活页》部分不得出现课题申请人及成员的姓名和单位，字数限3000字，图表不超过规定尺寸。</w:t>
      </w:r>
    </w:p>
    <w:p w:rsidR="00E203B1"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b/>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6.</w:t>
      </w:r>
      <w:r w:rsidR="00E203B1" w:rsidRPr="00E203B1">
        <w:rPr>
          <w:rFonts w:ascii="仿宋_GB2312" w:eastAsia="仿宋_GB2312" w:hAnsi="微软雅黑" w:hint="eastAsia"/>
          <w:b/>
          <w:color w:val="000000"/>
          <w:sz w:val="32"/>
          <w:szCs w:val="32"/>
        </w:rPr>
        <w:t xml:space="preserve"> </w:t>
      </w:r>
      <w:r w:rsidR="00E203B1" w:rsidRPr="009B18E6">
        <w:rPr>
          <w:rFonts w:ascii="仿宋_GB2312" w:eastAsia="仿宋_GB2312" w:hAnsi="微软雅黑" w:hint="eastAsia"/>
          <w:b/>
          <w:color w:val="000000"/>
          <w:sz w:val="32"/>
          <w:szCs w:val="32"/>
        </w:rPr>
        <w:t>网上申报受理日期：</w:t>
      </w:r>
      <w:r w:rsidR="00E203B1" w:rsidRPr="007C236C">
        <w:rPr>
          <w:rFonts w:ascii="仿宋_GB2312" w:eastAsia="仿宋_GB2312" w:hAnsi="微软雅黑" w:hint="eastAsia"/>
          <w:b/>
          <w:color w:val="000000"/>
          <w:sz w:val="32"/>
          <w:szCs w:val="32"/>
          <w:u w:val="single"/>
        </w:rPr>
        <w:t>2025年1月27日至2月1</w:t>
      </w:r>
      <w:r w:rsidR="00E203B1" w:rsidRPr="007C236C">
        <w:rPr>
          <w:rFonts w:ascii="仿宋_GB2312" w:eastAsia="仿宋_GB2312" w:hAnsi="微软雅黑"/>
          <w:b/>
          <w:color w:val="000000"/>
          <w:sz w:val="32"/>
          <w:szCs w:val="32"/>
          <w:u w:val="single"/>
        </w:rPr>
        <w:t>6</w:t>
      </w:r>
      <w:r w:rsidR="00E203B1" w:rsidRPr="007C236C">
        <w:rPr>
          <w:rFonts w:ascii="仿宋_GB2312" w:eastAsia="仿宋_GB2312" w:hAnsi="微软雅黑" w:hint="eastAsia"/>
          <w:b/>
          <w:color w:val="000000"/>
          <w:sz w:val="32"/>
          <w:szCs w:val="32"/>
          <w:u w:val="single"/>
        </w:rPr>
        <w:t>日（星期日） （截止于当天</w:t>
      </w:r>
      <w:r w:rsidR="00E203B1" w:rsidRPr="007C236C">
        <w:rPr>
          <w:rFonts w:ascii="仿宋_GB2312" w:eastAsia="仿宋_GB2312" w:hAnsi="微软雅黑"/>
          <w:b/>
          <w:color w:val="000000"/>
          <w:sz w:val="32"/>
          <w:szCs w:val="32"/>
          <w:u w:val="single"/>
        </w:rPr>
        <w:t>20</w:t>
      </w:r>
      <w:r w:rsidR="00E203B1" w:rsidRPr="007C236C">
        <w:rPr>
          <w:rFonts w:ascii="仿宋_GB2312" w:eastAsia="仿宋_GB2312" w:hAnsi="微软雅黑" w:hint="eastAsia"/>
          <w:b/>
          <w:color w:val="000000"/>
          <w:sz w:val="32"/>
          <w:szCs w:val="32"/>
          <w:u w:val="single"/>
        </w:rPr>
        <w:t>时）</w:t>
      </w:r>
      <w:r w:rsidR="00E203B1" w:rsidRPr="009B18E6">
        <w:rPr>
          <w:rFonts w:ascii="仿宋_GB2312" w:eastAsia="仿宋_GB2312" w:hAnsi="微软雅黑" w:hint="eastAsia"/>
          <w:b/>
          <w:color w:val="000000"/>
          <w:sz w:val="32"/>
          <w:szCs w:val="32"/>
        </w:rPr>
        <w:t>。</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黑体" w:eastAsia="黑体" w:hAnsi="黑体" w:hint="eastAsia"/>
          <w:b w:val="0"/>
          <w:sz w:val="32"/>
        </w:rPr>
        <w:t>五、评审程序</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1.申报受理后，由受理单位组织进行两轮评审。</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2.评审结果将于2025年4月在上海市人民政府发展研究中心网站向社会公布。</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黑体" w:eastAsia="黑体" w:hAnsi="黑体" w:hint="eastAsia"/>
          <w:b/>
          <w:color w:val="000000"/>
          <w:sz w:val="32"/>
          <w:szCs w:val="32"/>
        </w:rPr>
        <w:t> </w:t>
      </w:r>
      <w:r w:rsidRPr="00524B29">
        <w:rPr>
          <w:rStyle w:val="a4"/>
          <w:rFonts w:ascii="黑体" w:eastAsia="黑体" w:hAnsi="黑体" w:hint="eastAsia"/>
          <w:b w:val="0"/>
          <w:color w:val="000000"/>
          <w:sz w:val="32"/>
          <w:szCs w:val="32"/>
        </w:rPr>
        <w:t>六、研究进度要求</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1.课题组按要求须填报《上海市人民政府决策咨询研究项目计划任务书》，并提交详细研究提纲和具体实施计划。</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2.研究期限为2025年5月至12月。</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3.提交研究成果包括：研究报告（含摘要）、专报，由受理单位组织专家</w:t>
      </w:r>
      <w:proofErr w:type="gramStart"/>
      <w:r w:rsidRPr="00524B29">
        <w:rPr>
          <w:rFonts w:ascii="仿宋_GB2312" w:eastAsia="仿宋_GB2312" w:hAnsi="微软雅黑" w:hint="eastAsia"/>
          <w:color w:val="000000"/>
          <w:sz w:val="32"/>
          <w:szCs w:val="32"/>
        </w:rPr>
        <w:t>开展结项评审</w:t>
      </w:r>
      <w:proofErr w:type="gramEnd"/>
      <w:r w:rsidRPr="00524B29">
        <w:rPr>
          <w:rFonts w:ascii="仿宋_GB2312" w:eastAsia="仿宋_GB2312" w:hAnsi="微软雅黑" w:hint="eastAsia"/>
          <w:color w:val="000000"/>
          <w:sz w:val="32"/>
          <w:szCs w:val="32"/>
        </w:rPr>
        <w:t>验收。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黑体" w:eastAsia="黑体" w:hAnsi="黑体" w:hint="eastAsia"/>
          <w:b/>
          <w:color w:val="000000"/>
          <w:sz w:val="32"/>
          <w:szCs w:val="32"/>
        </w:rPr>
        <w:t> </w:t>
      </w:r>
      <w:r w:rsidRPr="00524B29">
        <w:rPr>
          <w:rFonts w:ascii="黑体" w:eastAsia="黑体" w:hAnsi="黑体" w:hint="eastAsia"/>
          <w:bCs/>
          <w:sz w:val="32"/>
          <w:szCs w:val="32"/>
        </w:rPr>
        <w:t>七、经费资助</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lastRenderedPageBreak/>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资助经费由上海市教育委员会承担，每项课题资助人民币8万元。</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黑体" w:eastAsia="黑体" w:hAnsi="黑体" w:hint="eastAsia"/>
          <w:bCs/>
          <w:sz w:val="32"/>
          <w:szCs w:val="32"/>
        </w:rPr>
        <w:t>八、联系方式</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受理部门：上海市教育委员会科研处</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联系地址：上海市大沽路100号3007室（邮编：200003）</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联 系 人：</w:t>
      </w:r>
      <w:proofErr w:type="gramStart"/>
      <w:r w:rsidRPr="00524B29">
        <w:rPr>
          <w:rFonts w:ascii="仿宋_GB2312" w:eastAsia="仿宋_GB2312" w:hAnsi="微软雅黑" w:hint="eastAsia"/>
          <w:color w:val="000000"/>
          <w:sz w:val="32"/>
          <w:szCs w:val="32"/>
        </w:rPr>
        <w:t>姜冠成</w:t>
      </w:r>
      <w:proofErr w:type="gramEnd"/>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联系电话：23116822</w:t>
      </w:r>
    </w:p>
    <w:p w:rsidR="00B67CCB"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00B67CCB">
        <w:rPr>
          <w:rFonts w:ascii="仿宋_GB2312" w:eastAsia="仿宋_GB2312" w:hAnsi="微软雅黑" w:hint="eastAsia"/>
          <w:color w:val="000000"/>
          <w:sz w:val="32"/>
          <w:szCs w:val="32"/>
        </w:rPr>
        <w:t xml:space="preserve">校内联系人：程琳 </w:t>
      </w:r>
      <w:r w:rsidR="00B67CCB">
        <w:rPr>
          <w:rFonts w:ascii="仿宋_GB2312" w:eastAsia="仿宋_GB2312" w:hAnsi="微软雅黑"/>
          <w:color w:val="000000"/>
          <w:sz w:val="32"/>
          <w:szCs w:val="32"/>
        </w:rPr>
        <w:t xml:space="preserve">  13621663467</w:t>
      </w:r>
    </w:p>
    <w:p w:rsidR="009E79FB"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特此通知。</w:t>
      </w:r>
    </w:p>
    <w:p w:rsidR="00B67CCB" w:rsidRPr="00B67CCB" w:rsidRDefault="00B67CC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附件：2025年度决策咨询研究教育政策专项课题指南</w:t>
      </w:r>
    </w:p>
    <w:p w:rsidR="009E79FB" w:rsidRPr="00524B29" w:rsidRDefault="009E79FB" w:rsidP="00524B29">
      <w:pPr>
        <w:pStyle w:val="a3"/>
        <w:shd w:val="clear" w:color="auto" w:fill="FEFEFE"/>
        <w:adjustRightInd w:val="0"/>
        <w:snapToGrid w:val="0"/>
        <w:spacing w:before="0" w:beforeAutospacing="0" w:after="0" w:afterAutospacing="0" w:line="360" w:lineRule="auto"/>
        <w:jc w:val="right"/>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p>
    <w:p w:rsidR="00B67CCB" w:rsidRPr="00974996" w:rsidRDefault="00B67CCB" w:rsidP="00B67CCB">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B67CCB" w:rsidRPr="00974996" w:rsidRDefault="00B67CCB" w:rsidP="00B67CCB">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9E79FB" w:rsidRDefault="00B67CCB" w:rsidP="00B67CCB">
      <w:pPr>
        <w:pStyle w:val="a3"/>
        <w:shd w:val="clear" w:color="auto" w:fill="FEFEFE"/>
        <w:adjustRightInd w:val="0"/>
        <w:snapToGrid w:val="0"/>
        <w:spacing w:before="0" w:beforeAutospacing="0" w:after="0" w:afterAutospacing="0" w:line="360" w:lineRule="auto"/>
        <w:jc w:val="right"/>
        <w:rPr>
          <w:rFonts w:ascii="仿宋_GB2312" w:eastAsia="仿宋_GB2312" w:hAnsi="微软雅黑"/>
          <w:color w:val="000000"/>
          <w:sz w:val="32"/>
          <w:szCs w:val="32"/>
        </w:rPr>
      </w:pPr>
      <w:r w:rsidRPr="00974996">
        <w:rPr>
          <w:rFonts w:ascii="仿宋_GB2312" w:eastAsia="仿宋_GB2312" w:hAnsi="微软雅黑" w:hint="eastAsia"/>
          <w:color w:val="000000"/>
          <w:sz w:val="32"/>
          <w:szCs w:val="32"/>
        </w:rPr>
        <w:t>2025年1月26日</w:t>
      </w:r>
      <w:r w:rsidR="009E79FB" w:rsidRPr="00524B29">
        <w:rPr>
          <w:rFonts w:ascii="仿宋_GB2312" w:eastAsia="仿宋_GB2312" w:hAnsi="微软雅黑" w:hint="eastAsia"/>
          <w:color w:val="000000"/>
          <w:sz w:val="32"/>
          <w:szCs w:val="32"/>
        </w:rPr>
        <w:t> </w:t>
      </w:r>
    </w:p>
    <w:p w:rsidR="00B67CCB" w:rsidRDefault="00B67CCB"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p>
    <w:p w:rsidR="00B67CCB" w:rsidRDefault="00B67CCB"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p>
    <w:p w:rsidR="00E203B1" w:rsidRDefault="00E203B1"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p>
    <w:p w:rsidR="00E203B1" w:rsidRDefault="00E203B1"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p>
    <w:p w:rsidR="00E203B1" w:rsidRDefault="00E203B1" w:rsidP="00524B29">
      <w:pPr>
        <w:pStyle w:val="a3"/>
        <w:shd w:val="clear" w:color="auto" w:fill="FEFEFE"/>
        <w:adjustRightInd w:val="0"/>
        <w:snapToGrid w:val="0"/>
        <w:spacing w:before="0" w:beforeAutospacing="0" w:after="0" w:afterAutospacing="0" w:line="360" w:lineRule="auto"/>
        <w:rPr>
          <w:rFonts w:ascii="仿宋_GB2312" w:eastAsia="仿宋_GB2312" w:hAnsi="微软雅黑"/>
          <w:color w:val="000000"/>
          <w:sz w:val="32"/>
          <w:szCs w:val="32"/>
        </w:rPr>
      </w:pPr>
    </w:p>
    <w:p w:rsidR="00E203B1" w:rsidRPr="00524B29" w:rsidRDefault="00E203B1"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bookmarkStart w:id="0" w:name="_GoBack"/>
      <w:bookmarkEnd w:id="0"/>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lastRenderedPageBreak/>
        <w:t> </w:t>
      </w:r>
      <w:r w:rsidRPr="00524B29">
        <w:rPr>
          <w:rFonts w:ascii="仿宋_GB2312" w:eastAsia="仿宋_GB2312" w:hAnsi="微软雅黑" w:hint="eastAsia"/>
          <w:color w:val="000000"/>
          <w:sz w:val="32"/>
          <w:szCs w:val="32"/>
        </w:rPr>
        <w:t> </w:t>
      </w:r>
      <w:r w:rsidRPr="00E203B1">
        <w:rPr>
          <w:rFonts w:ascii="黑体" w:eastAsia="黑体" w:hAnsi="黑体" w:hint="eastAsia"/>
          <w:color w:val="000000"/>
          <w:sz w:val="32"/>
          <w:szCs w:val="32"/>
        </w:rPr>
        <w:t>附件</w:t>
      </w:r>
    </w:p>
    <w:p w:rsidR="009E79FB" w:rsidRPr="00E203B1" w:rsidRDefault="009E79FB" w:rsidP="00524B29">
      <w:pPr>
        <w:pStyle w:val="a3"/>
        <w:shd w:val="clear" w:color="auto" w:fill="FEFEFE"/>
        <w:adjustRightInd w:val="0"/>
        <w:snapToGrid w:val="0"/>
        <w:spacing w:before="0" w:beforeAutospacing="0" w:after="0" w:afterAutospacing="0" w:line="360" w:lineRule="auto"/>
        <w:jc w:val="center"/>
        <w:rPr>
          <w:rFonts w:ascii="方正小标宋简体" w:eastAsia="方正小标宋简体" w:hAnsi="微软雅黑" w:hint="eastAsia"/>
          <w:b/>
          <w:color w:val="000000"/>
          <w:sz w:val="32"/>
          <w:szCs w:val="32"/>
        </w:rPr>
      </w:pPr>
      <w:r w:rsidRPr="00E203B1">
        <w:rPr>
          <w:rStyle w:val="a4"/>
          <w:rFonts w:ascii="方正小标宋简体" w:eastAsia="方正小标宋简体" w:hAnsi="微软雅黑" w:hint="eastAsia"/>
          <w:b w:val="0"/>
          <w:color w:val="000000"/>
          <w:sz w:val="32"/>
          <w:szCs w:val="32"/>
        </w:rPr>
        <w:t>2025年度决策咨询研究教育政策专项课题指南</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一、上海高校分类评价新机制研究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落实教育强国建设的要求，根据研究型、应用型、技能型等基本功能，探索重构上海高校分类评价体系，研究构建以全面提高人才自主培养质量为核心、以服务高水平科技自立自强和经济社会发展为重点的评价新机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二、产教融合的应用型本科高校建设模式探索</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研究重点：研究产教融合背景下，应用型本科高校深化产教融合的机制创新和重点举措，促进教育培养与产业需求相适应，结合产业需求科学调整学科布局和机构，研究推动教育和产业融合的路径和对策。</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三、上海高校集聚区优化提升的改革路径研究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研究重点：聚焦提升大学集聚区溢出效应，研究优化学科布局、加强多方合作，深化产教融合和科教</w:t>
      </w:r>
      <w:proofErr w:type="gramStart"/>
      <w:r w:rsidRPr="00524B29">
        <w:rPr>
          <w:rFonts w:ascii="仿宋_GB2312" w:eastAsia="仿宋_GB2312" w:hAnsi="微软雅黑" w:hint="eastAsia"/>
          <w:color w:val="000000"/>
          <w:sz w:val="32"/>
          <w:szCs w:val="32"/>
        </w:rPr>
        <w:t>融汇</w:t>
      </w:r>
      <w:proofErr w:type="gramEnd"/>
      <w:r w:rsidRPr="00524B29">
        <w:rPr>
          <w:rFonts w:ascii="仿宋_GB2312" w:eastAsia="仿宋_GB2312" w:hAnsi="微软雅黑" w:hint="eastAsia"/>
          <w:color w:val="000000"/>
          <w:sz w:val="32"/>
          <w:szCs w:val="32"/>
        </w:rPr>
        <w:t>的改革举措，研究激发大学集聚区及相关高校更好发挥对区域经济社会发展支撑作用的新思路和新路径。</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四、教育强国背景下上海民办教育高质量发展定位与路径研究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研究重点：系统梳理十八大以来上海民办教育发展态势、历史方位、改革形势等，加强区域对比分析，找准上</w:t>
      </w:r>
      <w:r w:rsidRPr="00524B29">
        <w:rPr>
          <w:rFonts w:ascii="仿宋_GB2312" w:eastAsia="仿宋_GB2312" w:hAnsi="微软雅黑" w:hint="eastAsia"/>
          <w:color w:val="000000"/>
          <w:sz w:val="32"/>
          <w:szCs w:val="32"/>
        </w:rPr>
        <w:lastRenderedPageBreak/>
        <w:t>海民办教育的发展</w:t>
      </w:r>
      <w:proofErr w:type="gramStart"/>
      <w:r w:rsidRPr="00524B29">
        <w:rPr>
          <w:rFonts w:ascii="仿宋_GB2312" w:eastAsia="仿宋_GB2312" w:hAnsi="微软雅黑" w:hint="eastAsia"/>
          <w:color w:val="000000"/>
          <w:sz w:val="32"/>
          <w:szCs w:val="32"/>
        </w:rPr>
        <w:t>位阶和突出</w:t>
      </w:r>
      <w:proofErr w:type="gramEnd"/>
      <w:r w:rsidRPr="00524B29">
        <w:rPr>
          <w:rFonts w:ascii="仿宋_GB2312" w:eastAsia="仿宋_GB2312" w:hAnsi="微软雅黑" w:hint="eastAsia"/>
          <w:color w:val="000000"/>
          <w:sz w:val="32"/>
          <w:szCs w:val="32"/>
        </w:rPr>
        <w:t>特点。对标对表教育强国、教育强市战略目标要求，研究新时代上海民办教育改革发展的功能定位、战略使命、重要任务和发展路径。</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五、构建上海高质量现代职业教育体系研究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研究重点：根据“构建职普融通、产教融合的现代职业教育体系建设”的要求，围绕国家重大战略布局和上海城市产业需求，聚焦</w:t>
      </w:r>
      <w:proofErr w:type="gramStart"/>
      <w:r w:rsidRPr="00524B29">
        <w:rPr>
          <w:rFonts w:ascii="仿宋_GB2312" w:eastAsia="仿宋_GB2312" w:hAnsi="微软雅黑" w:hint="eastAsia"/>
          <w:color w:val="000000"/>
          <w:sz w:val="32"/>
          <w:szCs w:val="32"/>
        </w:rPr>
        <w:t>提升职普的</w:t>
      </w:r>
      <w:proofErr w:type="gramEnd"/>
      <w:r w:rsidRPr="00524B29">
        <w:rPr>
          <w:rFonts w:ascii="仿宋_GB2312" w:eastAsia="仿宋_GB2312" w:hAnsi="微软雅黑" w:hint="eastAsia"/>
          <w:color w:val="000000"/>
          <w:sz w:val="32"/>
          <w:szCs w:val="32"/>
        </w:rPr>
        <w:t>融合度</w:t>
      </w:r>
      <w:proofErr w:type="gramStart"/>
      <w:r w:rsidRPr="00524B29">
        <w:rPr>
          <w:rFonts w:ascii="仿宋_GB2312" w:eastAsia="仿宋_GB2312" w:hAnsi="微软雅黑" w:hint="eastAsia"/>
          <w:color w:val="000000"/>
          <w:sz w:val="32"/>
          <w:szCs w:val="32"/>
        </w:rPr>
        <w:t>和教产的</w:t>
      </w:r>
      <w:proofErr w:type="gramEnd"/>
      <w:r w:rsidRPr="00524B29">
        <w:rPr>
          <w:rFonts w:ascii="仿宋_GB2312" w:eastAsia="仿宋_GB2312" w:hAnsi="微软雅黑" w:hint="eastAsia"/>
          <w:color w:val="000000"/>
          <w:sz w:val="32"/>
          <w:szCs w:val="32"/>
        </w:rPr>
        <w:t>匹配度，研究内涵建设的关键重点、产教融合的关键难点、高质量发展的关键变量，提出针对性的策略和路径。</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六、新城高中教育综合改革研究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基础教育是落实上海“五个新城”战略的重要支撑。聚焦新城高中教育综合改革，研究通过在规划、人事、教学、入学等方面采取系统性改革举措，提人气、聚人才，推动新城教育和新城建设共同发展。</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七、人工智能赋能拔尖创新人才早期发现和培养机制研究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基于中小学生课堂教学、课余活动、兴趣爱好、特长等多维度，研究利用人工智能技术实现多模态数据分析，构建科学合理的中小学生高阶思维与创新能力的早期发现评估体系和评测路径。研究提出利用人工智能技术为具有拔尖创新潜质的学生提供更加个性化、多元</w:t>
      </w:r>
      <w:r w:rsidRPr="00524B29">
        <w:rPr>
          <w:rFonts w:ascii="仿宋_GB2312" w:eastAsia="仿宋_GB2312" w:hAnsi="微软雅黑" w:hint="eastAsia"/>
          <w:color w:val="000000"/>
          <w:sz w:val="32"/>
          <w:szCs w:val="32"/>
        </w:rPr>
        <w:lastRenderedPageBreak/>
        <w:t>化、高效率的学习成长和培养路径的大模型教育垂直应用实施方案。</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八、基础教育高质量增值性评价体系研究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落实教育强国建设的要求，研究本市基础教育构建引导学生德智体美劳全面发展的建设指标，围绕指标进行数据采集的路径和方法，提出提升学校在提供专业教育服务过程中的专业供给能力、在促进学生成长过程中的有效培养力的对策举措。</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九、新时代系统推进“大思政课”试验体系建设研究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研究重点：依托上海“大思政课”建设整体试验区、重点试验区、重点试验高校的创新性实践探索，研究系统构建上海特有的“大思政课”建设试验体系，提出形成大中小、校内外、</w:t>
      </w:r>
      <w:proofErr w:type="gramStart"/>
      <w:r w:rsidRPr="00524B29">
        <w:rPr>
          <w:rFonts w:ascii="仿宋_GB2312" w:eastAsia="仿宋_GB2312" w:hAnsi="微软雅黑" w:hint="eastAsia"/>
          <w:color w:val="000000"/>
          <w:sz w:val="32"/>
          <w:szCs w:val="32"/>
        </w:rPr>
        <w:t>知信行</w:t>
      </w:r>
      <w:proofErr w:type="gramEnd"/>
      <w:r w:rsidRPr="00524B29">
        <w:rPr>
          <w:rFonts w:ascii="仿宋_GB2312" w:eastAsia="仿宋_GB2312" w:hAnsi="微软雅黑" w:hint="eastAsia"/>
          <w:color w:val="000000"/>
          <w:sz w:val="32"/>
          <w:szCs w:val="32"/>
        </w:rPr>
        <w:t>一体推进“大思政课”建设的对策举措。</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Style w:val="a4"/>
          <w:rFonts w:ascii="仿宋_GB2312" w:eastAsia="仿宋_GB2312" w:hAnsi="微软雅黑" w:hint="eastAsia"/>
          <w:color w:val="000000"/>
          <w:sz w:val="32"/>
          <w:szCs w:val="32"/>
        </w:rPr>
        <w:t>十、高质量引领下的上海市教材管理创新机制研究</w:t>
      </w:r>
    </w:p>
    <w:p w:rsidR="009E79FB" w:rsidRPr="00524B29" w:rsidRDefault="009E79FB" w:rsidP="00524B29">
      <w:pPr>
        <w:pStyle w:val="a3"/>
        <w:shd w:val="clear" w:color="auto" w:fill="FEFEFE"/>
        <w:adjustRightInd w:val="0"/>
        <w:snapToGrid w:val="0"/>
        <w:spacing w:before="0" w:beforeAutospacing="0" w:after="0" w:afterAutospacing="0" w:line="360" w:lineRule="auto"/>
        <w:rPr>
          <w:rFonts w:ascii="仿宋_GB2312" w:eastAsia="仿宋_GB2312" w:hAnsi="微软雅黑" w:hint="eastAsia"/>
          <w:color w:val="000000"/>
          <w:sz w:val="32"/>
          <w:szCs w:val="32"/>
        </w:rPr>
      </w:pP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 </w:t>
      </w:r>
      <w:r w:rsidRPr="00524B29">
        <w:rPr>
          <w:rFonts w:ascii="仿宋_GB2312" w:eastAsia="仿宋_GB2312" w:hAnsi="微软雅黑" w:hint="eastAsia"/>
          <w:color w:val="000000"/>
          <w:sz w:val="32"/>
          <w:szCs w:val="32"/>
        </w:rPr>
        <w:t>研究重点：梳理总结近年来上海在教材管理方面经验做法，对</w:t>
      </w:r>
      <w:proofErr w:type="gramStart"/>
      <w:r w:rsidRPr="00524B29">
        <w:rPr>
          <w:rFonts w:ascii="仿宋_GB2312" w:eastAsia="仿宋_GB2312" w:hAnsi="微软雅黑" w:hint="eastAsia"/>
          <w:color w:val="000000"/>
          <w:sz w:val="32"/>
          <w:szCs w:val="32"/>
        </w:rPr>
        <w:t>标教育</w:t>
      </w:r>
      <w:proofErr w:type="gramEnd"/>
      <w:r w:rsidRPr="00524B29">
        <w:rPr>
          <w:rFonts w:ascii="仿宋_GB2312" w:eastAsia="仿宋_GB2312" w:hAnsi="微软雅黑" w:hint="eastAsia"/>
          <w:color w:val="000000"/>
          <w:sz w:val="32"/>
          <w:szCs w:val="32"/>
        </w:rPr>
        <w:t>强国建设打造高质量教材的要求，研究进一步完善创新上海教材管理的体制和机制。</w:t>
      </w:r>
    </w:p>
    <w:p w:rsidR="005B2580" w:rsidRPr="00524B29" w:rsidRDefault="006E3DB1" w:rsidP="00524B29">
      <w:pPr>
        <w:adjustRightInd w:val="0"/>
        <w:snapToGrid w:val="0"/>
        <w:spacing w:line="360" w:lineRule="auto"/>
        <w:rPr>
          <w:rFonts w:ascii="仿宋_GB2312" w:eastAsia="仿宋_GB2312" w:hint="eastAsia"/>
          <w:sz w:val="32"/>
          <w:szCs w:val="32"/>
        </w:rPr>
      </w:pPr>
    </w:p>
    <w:sectPr w:rsidR="005B2580" w:rsidRPr="00524B2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3DB1" w:rsidRDefault="006E3DB1" w:rsidP="00524B29">
      <w:r>
        <w:separator/>
      </w:r>
    </w:p>
  </w:endnote>
  <w:endnote w:type="continuationSeparator" w:id="0">
    <w:p w:rsidR="006E3DB1" w:rsidRDefault="006E3DB1" w:rsidP="00524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175998"/>
      <w:docPartObj>
        <w:docPartGallery w:val="Page Numbers (Bottom of Page)"/>
        <w:docPartUnique/>
      </w:docPartObj>
    </w:sdtPr>
    <w:sdtContent>
      <w:p w:rsidR="00E203B1" w:rsidRDefault="00E203B1">
        <w:pPr>
          <w:pStyle w:val="a7"/>
          <w:jc w:val="center"/>
        </w:pPr>
        <w:r>
          <w:fldChar w:fldCharType="begin"/>
        </w:r>
        <w:r>
          <w:instrText>PAGE   \* MERGEFORMAT</w:instrText>
        </w:r>
        <w:r>
          <w:fldChar w:fldCharType="separate"/>
        </w:r>
        <w:r w:rsidRPr="00E203B1">
          <w:rPr>
            <w:noProof/>
            <w:lang w:val="zh-CN"/>
          </w:rPr>
          <w:t>5</w:t>
        </w:r>
        <w:r>
          <w:fldChar w:fldCharType="end"/>
        </w:r>
      </w:p>
    </w:sdtContent>
  </w:sdt>
  <w:p w:rsidR="00E203B1" w:rsidRDefault="00E203B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3DB1" w:rsidRDefault="006E3DB1" w:rsidP="00524B29">
      <w:r>
        <w:separator/>
      </w:r>
    </w:p>
  </w:footnote>
  <w:footnote w:type="continuationSeparator" w:id="0">
    <w:p w:rsidR="006E3DB1" w:rsidRDefault="006E3DB1" w:rsidP="00524B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861"/>
    <w:rsid w:val="00524B29"/>
    <w:rsid w:val="006E3DB1"/>
    <w:rsid w:val="00827114"/>
    <w:rsid w:val="00854861"/>
    <w:rsid w:val="009E79FB"/>
    <w:rsid w:val="00B67CCB"/>
    <w:rsid w:val="00E203B1"/>
    <w:rsid w:val="00E44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03464"/>
  <w15:chartTrackingRefBased/>
  <w15:docId w15:val="{7B6CB543-88A6-4080-8EC4-BC854068C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E79F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E79FB"/>
    <w:rPr>
      <w:b/>
      <w:bCs/>
    </w:rPr>
  </w:style>
  <w:style w:type="paragraph" w:styleId="a5">
    <w:name w:val="header"/>
    <w:basedOn w:val="a"/>
    <w:link w:val="a6"/>
    <w:uiPriority w:val="99"/>
    <w:unhideWhenUsed/>
    <w:rsid w:val="00524B2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24B29"/>
    <w:rPr>
      <w:sz w:val="18"/>
      <w:szCs w:val="18"/>
    </w:rPr>
  </w:style>
  <w:style w:type="paragraph" w:styleId="a7">
    <w:name w:val="footer"/>
    <w:basedOn w:val="a"/>
    <w:link w:val="a8"/>
    <w:uiPriority w:val="99"/>
    <w:unhideWhenUsed/>
    <w:rsid w:val="00524B29"/>
    <w:pPr>
      <w:tabs>
        <w:tab w:val="center" w:pos="4153"/>
        <w:tab w:val="right" w:pos="8306"/>
      </w:tabs>
      <w:snapToGrid w:val="0"/>
      <w:jc w:val="left"/>
    </w:pPr>
    <w:rPr>
      <w:sz w:val="18"/>
      <w:szCs w:val="18"/>
    </w:rPr>
  </w:style>
  <w:style w:type="character" w:customStyle="1" w:styleId="a8">
    <w:name w:val="页脚 字符"/>
    <w:basedOn w:val="a0"/>
    <w:link w:val="a7"/>
    <w:uiPriority w:val="99"/>
    <w:rsid w:val="00524B29"/>
    <w:rPr>
      <w:sz w:val="18"/>
      <w:szCs w:val="18"/>
    </w:rPr>
  </w:style>
  <w:style w:type="character" w:customStyle="1" w:styleId="misidecifaspan">
    <w:name w:val="misidecifaspan"/>
    <w:basedOn w:val="a0"/>
    <w:rsid w:val="00B67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1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416</Words>
  <Characters>2373</Characters>
  <Application>Microsoft Office Word</Application>
  <DocSecurity>0</DocSecurity>
  <Lines>19</Lines>
  <Paragraphs>5</Paragraphs>
  <ScaleCrop>false</ScaleCrop>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5</cp:revision>
  <dcterms:created xsi:type="dcterms:W3CDTF">2025-01-26T05:01:00Z</dcterms:created>
  <dcterms:modified xsi:type="dcterms:W3CDTF">2025-01-26T05:57:00Z</dcterms:modified>
</cp:coreProperties>
</file>