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09E" w:rsidRPr="005B1EBF" w:rsidRDefault="007F109E" w:rsidP="005B1EBF">
      <w:pPr>
        <w:widowControl/>
        <w:adjustRightInd w:val="0"/>
        <w:snapToGrid w:val="0"/>
        <w:spacing w:line="360" w:lineRule="auto"/>
        <w:jc w:val="center"/>
        <w:rPr>
          <w:rFonts w:ascii="方正小标宋简体" w:eastAsia="方正小标宋简体" w:hAnsi="微软雅黑" w:cs="宋体" w:hint="eastAsia"/>
          <w:bCs/>
          <w:color w:val="000000"/>
          <w:kern w:val="0"/>
          <w:sz w:val="32"/>
          <w:szCs w:val="32"/>
        </w:rPr>
      </w:pPr>
      <w:r w:rsidRPr="005B1EBF">
        <w:rPr>
          <w:rFonts w:ascii="方正小标宋简体" w:eastAsia="方正小标宋简体" w:hAnsi="微软雅黑" w:cs="宋体" w:hint="eastAsia"/>
          <w:bCs/>
          <w:color w:val="000000"/>
          <w:kern w:val="0"/>
          <w:sz w:val="32"/>
          <w:szCs w:val="32"/>
        </w:rPr>
        <w:t>2025年度决策咨询研究卫生健康专项课题申报通知</w:t>
      </w:r>
    </w:p>
    <w:p w:rsidR="005B1EBF" w:rsidRDefault="007F109E" w:rsidP="005B1EBF">
      <w:pPr>
        <w:widowControl/>
        <w:adjustRightInd w:val="0"/>
        <w:snapToGrid w:val="0"/>
        <w:spacing w:line="360" w:lineRule="auto"/>
        <w:jc w:val="left"/>
        <w:rPr>
          <w:rFonts w:ascii="仿宋_GB2312" w:eastAsia="仿宋_GB2312" w:hAnsi="微软雅黑" w:cs="宋体"/>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各有关单位：</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现将2025年度决策咨询研究卫生健康专项课题面向社会公开征集研究团队。具体事项通知如下：</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黑体" w:eastAsia="黑体" w:hAnsi="黑体" w:cs="宋体" w:hint="eastAsia"/>
          <w:bCs/>
          <w:color w:val="000000"/>
          <w:kern w:val="0"/>
          <w:sz w:val="32"/>
          <w:szCs w:val="32"/>
        </w:rPr>
        <w:t>一、申报目录</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1.健康优先发展战略的制度体系和实施路径研究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2.上海市深化公立医院薪酬制度改革路径和推进策略</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3.深化医疗服务价格改革，建立以医疗服务为主导的收费机制研究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4.新时代生物医药产业全球化战略布局策略研究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5.科技赋能上海中医药产业创新发展的策略研究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6.</w:t>
      </w:r>
      <w:proofErr w:type="gramStart"/>
      <w:r w:rsidRPr="005B1EBF">
        <w:rPr>
          <w:rFonts w:ascii="仿宋_GB2312" w:eastAsia="仿宋_GB2312" w:hAnsi="微软雅黑" w:cs="宋体" w:hint="eastAsia"/>
          <w:color w:val="000000"/>
          <w:kern w:val="0"/>
          <w:sz w:val="32"/>
          <w:szCs w:val="32"/>
        </w:rPr>
        <w:t>疾控事业</w:t>
      </w:r>
      <w:proofErr w:type="gramEnd"/>
      <w:r w:rsidRPr="005B1EBF">
        <w:rPr>
          <w:rFonts w:ascii="仿宋_GB2312" w:eastAsia="仿宋_GB2312" w:hAnsi="微软雅黑" w:cs="宋体" w:hint="eastAsia"/>
          <w:color w:val="000000"/>
          <w:kern w:val="0"/>
          <w:sz w:val="32"/>
          <w:szCs w:val="32"/>
        </w:rPr>
        <w:t>高质量发展背景下本市免疫规划策略优化研究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7.医疗卫生监管模式创新研究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黑体" w:eastAsia="黑体" w:hAnsi="黑体" w:cs="宋体" w:hint="eastAsia"/>
          <w:bCs/>
          <w:color w:val="000000"/>
          <w:kern w:val="0"/>
          <w:sz w:val="32"/>
          <w:szCs w:val="32"/>
        </w:rPr>
        <w:t>二、申报对象</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本次公开申报面向上海高等院校、医疗卫生机构、科研机构、社会团体、企业等单位。</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申请人须具有较高的政治素质，熟悉决策咨询研究工作，并具有与所申报课题相关的研究基础。</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申请人应是所在单位的全职在岗人员。</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lastRenderedPageBreak/>
        <w:t> </w:t>
      </w:r>
      <w:r w:rsidRPr="005B1EBF">
        <w:rPr>
          <w:rFonts w:ascii="仿宋_GB2312" w:eastAsia="仿宋_GB2312" w:hAnsi="微软雅黑" w:cs="宋体" w:hint="eastAsia"/>
          <w:b/>
          <w:color w:val="000000"/>
          <w:kern w:val="0"/>
          <w:sz w:val="32"/>
          <w:szCs w:val="32"/>
        </w:rPr>
        <w:t> </w:t>
      </w:r>
      <w:r w:rsidRPr="005B1EBF">
        <w:rPr>
          <w:rFonts w:ascii="仿宋_GB2312" w:eastAsia="仿宋_GB2312" w:hAnsi="微软雅黑" w:cs="宋体" w:hint="eastAsia"/>
          <w:b/>
          <w:color w:val="000000"/>
          <w:kern w:val="0"/>
          <w:sz w:val="32"/>
          <w:szCs w:val="32"/>
        </w:rPr>
        <w:t>在申报截止日之前，已作为课题负责人承担在</w:t>
      </w:r>
      <w:proofErr w:type="gramStart"/>
      <w:r w:rsidRPr="005B1EBF">
        <w:rPr>
          <w:rFonts w:ascii="仿宋_GB2312" w:eastAsia="仿宋_GB2312" w:hAnsi="微软雅黑" w:cs="宋体" w:hint="eastAsia"/>
          <w:b/>
          <w:color w:val="000000"/>
          <w:kern w:val="0"/>
          <w:sz w:val="32"/>
          <w:szCs w:val="32"/>
        </w:rPr>
        <w:t>研</w:t>
      </w:r>
      <w:proofErr w:type="gramEnd"/>
      <w:r w:rsidRPr="005B1EBF">
        <w:rPr>
          <w:rFonts w:ascii="仿宋_GB2312" w:eastAsia="仿宋_GB2312" w:hAnsi="微软雅黑" w:cs="宋体" w:hint="eastAsia"/>
          <w:b/>
          <w:color w:val="000000"/>
          <w:kern w:val="0"/>
          <w:sz w:val="32"/>
          <w:szCs w:val="32"/>
        </w:rPr>
        <w:t>的市政府决策咨询课题的人员，不得申请。</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黑体" w:eastAsia="黑体" w:hAnsi="黑体" w:cs="宋体" w:hint="eastAsia"/>
          <w:bCs/>
          <w:color w:val="000000"/>
          <w:kern w:val="0"/>
          <w:sz w:val="32"/>
          <w:szCs w:val="32"/>
        </w:rPr>
        <w:t>三、申报方式及程序</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1.申报方式：采用网上申报方式，无需提交纸质材料。申请人通过登录上海市人民政府发展研究中心网站（http://www.fzzx.sh.gov.cn）——“课题申报”栏目——“决策咨询研究项目管理平台”进行申报。</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2.申报步骤：（1）申请人注册并完成实名认证（已注册用户可直接登录）；（</w:t>
      </w:r>
      <w:r w:rsidR="005B1EBF">
        <w:rPr>
          <w:rFonts w:ascii="仿宋_GB2312" w:eastAsia="仿宋_GB2312" w:hAnsi="微软雅黑" w:cs="宋体"/>
          <w:color w:val="000000"/>
          <w:kern w:val="0"/>
          <w:sz w:val="32"/>
          <w:szCs w:val="32"/>
        </w:rPr>
        <w:t>2</w:t>
      </w:r>
      <w:r w:rsidRPr="005B1EBF">
        <w:rPr>
          <w:rFonts w:ascii="仿宋_GB2312" w:eastAsia="仿宋_GB2312" w:hAnsi="微软雅黑" w:cs="宋体" w:hint="eastAsia"/>
          <w:color w:val="000000"/>
          <w:kern w:val="0"/>
          <w:sz w:val="32"/>
          <w:szCs w:val="32"/>
        </w:rPr>
        <w:t>）申请人填写提交申报材料；（</w:t>
      </w:r>
      <w:r w:rsidR="005B1EBF">
        <w:rPr>
          <w:rFonts w:ascii="仿宋_GB2312" w:eastAsia="仿宋_GB2312" w:hAnsi="微软雅黑" w:cs="宋体"/>
          <w:color w:val="000000"/>
          <w:kern w:val="0"/>
          <w:sz w:val="32"/>
          <w:szCs w:val="32"/>
        </w:rPr>
        <w:t>3</w:t>
      </w:r>
      <w:r w:rsidRPr="005B1EBF">
        <w:rPr>
          <w:rFonts w:ascii="仿宋_GB2312" w:eastAsia="仿宋_GB2312" w:hAnsi="微软雅黑" w:cs="宋体" w:hint="eastAsia"/>
          <w:color w:val="000000"/>
          <w:kern w:val="0"/>
          <w:sz w:val="32"/>
          <w:szCs w:val="32"/>
        </w:rPr>
        <w:t>）申请人所在单位完成网上审核。</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3.课题指南获取：登录上海市人民政府发展研究中心网站查阅《2025年度决策咨询研究卫生健康专项课题指南》。</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4.申报数量限制：</w:t>
      </w:r>
      <w:r w:rsidRPr="005B1EBF">
        <w:rPr>
          <w:rFonts w:ascii="仿宋_GB2312" w:eastAsia="仿宋_GB2312" w:hAnsi="微软雅黑" w:cs="宋体" w:hint="eastAsia"/>
          <w:b/>
          <w:color w:val="000000"/>
          <w:kern w:val="0"/>
          <w:sz w:val="32"/>
          <w:szCs w:val="32"/>
        </w:rPr>
        <w:t>同一申请人限申报1项。</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5.在线填写要求：申请人应仔细阅读课题指南和填表说明；申报材料应简明扼要，突出重点和关键，</w:t>
      </w:r>
      <w:r w:rsidRPr="005B1EBF">
        <w:rPr>
          <w:rFonts w:ascii="仿宋_GB2312" w:eastAsia="仿宋_GB2312" w:hAnsi="微软雅黑" w:cs="宋体" w:hint="eastAsia"/>
          <w:b/>
          <w:color w:val="000000"/>
          <w:kern w:val="0"/>
          <w:sz w:val="32"/>
          <w:szCs w:val="32"/>
        </w:rPr>
        <w:t>其中《课题论证活页》部分不得出现课题申请人及成员的姓名和单位，字数限3000字，图表不超过规定尺寸。</w:t>
      </w:r>
    </w:p>
    <w:p w:rsidR="005B1EBF" w:rsidRDefault="007F109E" w:rsidP="005B1EBF">
      <w:pPr>
        <w:widowControl/>
        <w:adjustRightInd w:val="0"/>
        <w:snapToGrid w:val="0"/>
        <w:spacing w:line="360" w:lineRule="auto"/>
        <w:jc w:val="left"/>
        <w:rPr>
          <w:rFonts w:ascii="仿宋_GB2312" w:eastAsia="仿宋_GB2312" w:hAnsi="微软雅黑" w:cs="宋体"/>
          <w:b/>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xml:space="preserve">6. </w:t>
      </w:r>
      <w:r w:rsidR="005B1EBF" w:rsidRPr="009B18E6">
        <w:rPr>
          <w:rFonts w:ascii="仿宋_GB2312" w:eastAsia="仿宋_GB2312" w:hAnsi="微软雅黑" w:cs="宋体" w:hint="eastAsia"/>
          <w:b/>
          <w:color w:val="000000"/>
          <w:kern w:val="0"/>
          <w:sz w:val="32"/>
          <w:szCs w:val="32"/>
        </w:rPr>
        <w:t>网上申报受理日期：</w:t>
      </w:r>
      <w:r w:rsidR="005B1EBF" w:rsidRPr="007C236C">
        <w:rPr>
          <w:rFonts w:ascii="仿宋_GB2312" w:eastAsia="仿宋_GB2312" w:hAnsi="微软雅黑" w:cs="宋体" w:hint="eastAsia"/>
          <w:b/>
          <w:color w:val="000000"/>
          <w:kern w:val="0"/>
          <w:sz w:val="32"/>
          <w:szCs w:val="32"/>
          <w:u w:val="single"/>
        </w:rPr>
        <w:t>2025年1月27日至2月1</w:t>
      </w:r>
      <w:r w:rsidR="005B1EBF" w:rsidRPr="007C236C">
        <w:rPr>
          <w:rFonts w:ascii="仿宋_GB2312" w:eastAsia="仿宋_GB2312" w:hAnsi="微软雅黑" w:cs="宋体"/>
          <w:b/>
          <w:color w:val="000000"/>
          <w:kern w:val="0"/>
          <w:sz w:val="32"/>
          <w:szCs w:val="32"/>
          <w:u w:val="single"/>
        </w:rPr>
        <w:t>6</w:t>
      </w:r>
      <w:r w:rsidR="005B1EBF" w:rsidRPr="007C236C">
        <w:rPr>
          <w:rFonts w:ascii="仿宋_GB2312" w:eastAsia="仿宋_GB2312" w:hAnsi="微软雅黑" w:cs="宋体" w:hint="eastAsia"/>
          <w:b/>
          <w:color w:val="000000"/>
          <w:kern w:val="0"/>
          <w:sz w:val="32"/>
          <w:szCs w:val="32"/>
          <w:u w:val="single"/>
        </w:rPr>
        <w:t>日（星期日） （截止于当天</w:t>
      </w:r>
      <w:r w:rsidR="005B1EBF" w:rsidRPr="007C236C">
        <w:rPr>
          <w:rFonts w:ascii="仿宋_GB2312" w:eastAsia="仿宋_GB2312" w:hAnsi="微软雅黑" w:cs="宋体"/>
          <w:b/>
          <w:color w:val="000000"/>
          <w:kern w:val="0"/>
          <w:sz w:val="32"/>
          <w:szCs w:val="32"/>
          <w:u w:val="single"/>
        </w:rPr>
        <w:t>20</w:t>
      </w:r>
      <w:r w:rsidR="005B1EBF" w:rsidRPr="007C236C">
        <w:rPr>
          <w:rFonts w:ascii="仿宋_GB2312" w:eastAsia="仿宋_GB2312" w:hAnsi="微软雅黑" w:cs="宋体" w:hint="eastAsia"/>
          <w:b/>
          <w:color w:val="000000"/>
          <w:kern w:val="0"/>
          <w:sz w:val="32"/>
          <w:szCs w:val="32"/>
          <w:u w:val="single"/>
        </w:rPr>
        <w:t>时）</w:t>
      </w:r>
      <w:r w:rsidR="005B1EBF" w:rsidRPr="009B18E6">
        <w:rPr>
          <w:rFonts w:ascii="仿宋_GB2312" w:eastAsia="仿宋_GB2312" w:hAnsi="微软雅黑" w:cs="宋体" w:hint="eastAsia"/>
          <w:b/>
          <w:color w:val="000000"/>
          <w:kern w:val="0"/>
          <w:sz w:val="32"/>
          <w:szCs w:val="32"/>
        </w:rPr>
        <w:t>。</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黑体" w:eastAsia="黑体" w:hAnsi="黑体" w:cs="宋体" w:hint="eastAsia"/>
          <w:bCs/>
          <w:color w:val="000000"/>
          <w:kern w:val="0"/>
          <w:sz w:val="32"/>
          <w:szCs w:val="32"/>
        </w:rPr>
        <w:t>四、评审程序</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1.申报受理后，由受理单位组织进行两轮评审。</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lastRenderedPageBreak/>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2.评审结果将于2025年3月在上海市人民政府发展研究中心网站和上海市卫生健康委员会网站等渠道向社会公布。</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黑体" w:eastAsia="黑体" w:hAnsi="黑体" w:cs="宋体" w:hint="eastAsia"/>
          <w:bCs/>
          <w:color w:val="000000"/>
          <w:kern w:val="0"/>
          <w:sz w:val="32"/>
          <w:szCs w:val="32"/>
        </w:rPr>
        <w:t> </w:t>
      </w:r>
      <w:r w:rsidRPr="005B1EBF">
        <w:rPr>
          <w:rFonts w:ascii="黑体" w:eastAsia="黑体" w:hAnsi="黑体" w:cs="宋体" w:hint="eastAsia"/>
          <w:bCs/>
          <w:color w:val="000000"/>
          <w:kern w:val="0"/>
          <w:sz w:val="32"/>
          <w:szCs w:val="32"/>
        </w:rPr>
        <w:t>五、研究进度要求</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1.课题组按要求须填报《上海市人民政府决策咨询研究项目计划任务书》，并提交详细研究提纲和具体实施计划。</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2.研究期限为2025年3月至10月。</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3.提交课题研究报告（含摘要），由受理单位组织专家</w:t>
      </w:r>
      <w:proofErr w:type="gramStart"/>
      <w:r w:rsidRPr="005B1EBF">
        <w:rPr>
          <w:rFonts w:ascii="仿宋_GB2312" w:eastAsia="仿宋_GB2312" w:hAnsi="微软雅黑" w:cs="宋体" w:hint="eastAsia"/>
          <w:color w:val="000000"/>
          <w:kern w:val="0"/>
          <w:sz w:val="32"/>
          <w:szCs w:val="32"/>
        </w:rPr>
        <w:t>开展结项评审</w:t>
      </w:r>
      <w:proofErr w:type="gramEnd"/>
      <w:r w:rsidRPr="005B1EBF">
        <w:rPr>
          <w:rFonts w:ascii="仿宋_GB2312" w:eastAsia="仿宋_GB2312" w:hAnsi="微软雅黑" w:cs="宋体" w:hint="eastAsia"/>
          <w:color w:val="000000"/>
          <w:kern w:val="0"/>
          <w:sz w:val="32"/>
          <w:szCs w:val="32"/>
        </w:rPr>
        <w:t>验收。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黑体" w:eastAsia="黑体" w:hAnsi="黑体" w:cs="宋体" w:hint="eastAsia"/>
          <w:bCs/>
          <w:color w:val="000000"/>
          <w:kern w:val="0"/>
          <w:sz w:val="32"/>
          <w:szCs w:val="32"/>
        </w:rPr>
        <w:t>六、经费资助</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资助经费由上海市卫生健康委员会承担，每项课题资助人民币10万元。</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黑体" w:eastAsia="黑体" w:hAnsi="黑体" w:cs="宋体" w:hint="eastAsia"/>
          <w:bCs/>
          <w:color w:val="000000"/>
          <w:kern w:val="0"/>
          <w:sz w:val="32"/>
          <w:szCs w:val="32"/>
        </w:rPr>
        <w:t>七、联系方式</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受理部门：上海市卫生健康委员会</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联系地址：上海市浦东新区</w:t>
      </w:r>
      <w:proofErr w:type="gramStart"/>
      <w:r w:rsidRPr="005B1EBF">
        <w:rPr>
          <w:rFonts w:ascii="仿宋_GB2312" w:eastAsia="仿宋_GB2312" w:hAnsi="微软雅黑" w:cs="宋体" w:hint="eastAsia"/>
          <w:color w:val="000000"/>
          <w:kern w:val="0"/>
          <w:sz w:val="32"/>
          <w:szCs w:val="32"/>
        </w:rPr>
        <w:t>世</w:t>
      </w:r>
      <w:proofErr w:type="gramEnd"/>
      <w:r w:rsidRPr="005B1EBF">
        <w:rPr>
          <w:rFonts w:ascii="仿宋_GB2312" w:eastAsia="仿宋_GB2312" w:hAnsi="微软雅黑" w:cs="宋体" w:hint="eastAsia"/>
          <w:color w:val="000000"/>
          <w:kern w:val="0"/>
          <w:sz w:val="32"/>
          <w:szCs w:val="32"/>
        </w:rPr>
        <w:t>博村路300号4号楼808室（邮编：200125）</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联 系 人：严晓南</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联系电话：23117790</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005B1EBF">
        <w:rPr>
          <w:rFonts w:ascii="仿宋_GB2312" w:eastAsia="仿宋_GB2312" w:hAnsi="微软雅黑" w:cs="宋体" w:hint="eastAsia"/>
          <w:color w:val="000000"/>
          <w:kern w:val="0"/>
          <w:sz w:val="32"/>
          <w:szCs w:val="32"/>
        </w:rPr>
        <w:t xml:space="preserve">校内联系人：程琳 </w:t>
      </w:r>
      <w:r w:rsidR="005B1EBF">
        <w:rPr>
          <w:rFonts w:ascii="仿宋_GB2312" w:eastAsia="仿宋_GB2312" w:hAnsi="微软雅黑" w:cs="宋体"/>
          <w:color w:val="000000"/>
          <w:kern w:val="0"/>
          <w:sz w:val="32"/>
          <w:szCs w:val="32"/>
        </w:rPr>
        <w:t xml:space="preserve">  13621663467</w:t>
      </w:r>
    </w:p>
    <w:p w:rsidR="007F109E" w:rsidRDefault="007F109E" w:rsidP="005B1EBF">
      <w:pPr>
        <w:widowControl/>
        <w:adjustRightInd w:val="0"/>
        <w:snapToGrid w:val="0"/>
        <w:spacing w:line="360" w:lineRule="auto"/>
        <w:jc w:val="left"/>
        <w:rPr>
          <w:rFonts w:ascii="仿宋_GB2312" w:eastAsia="仿宋_GB2312" w:hAnsi="微软雅黑" w:cs="宋体"/>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特此通知。</w:t>
      </w:r>
    </w:p>
    <w:p w:rsidR="005B1EBF" w:rsidRPr="005B1EBF" w:rsidRDefault="005B1EBF"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lastRenderedPageBreak/>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附件：2025年度决策咨询研究卫生健康专项课题指南</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p>
    <w:p w:rsidR="005B1EBF" w:rsidRPr="00974996" w:rsidRDefault="005B1EBF" w:rsidP="005B1EBF">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5B1EBF" w:rsidRPr="00974996" w:rsidRDefault="005B1EBF" w:rsidP="005B1EBF">
      <w:pPr>
        <w:widowControl/>
        <w:shd w:val="clear" w:color="auto" w:fill="FEFEFE"/>
        <w:adjustRightInd w:val="0"/>
        <w:snapToGrid w:val="0"/>
        <w:spacing w:line="360" w:lineRule="auto"/>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5B1EBF" w:rsidRPr="00974996" w:rsidRDefault="005B1EBF" w:rsidP="005B1EBF">
      <w:pPr>
        <w:widowControl/>
        <w:shd w:val="clear" w:color="auto" w:fill="FEFEFE"/>
        <w:adjustRightInd w:val="0"/>
        <w:snapToGrid w:val="0"/>
        <w:spacing w:line="360" w:lineRule="auto"/>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7F109E" w:rsidRDefault="007F109E" w:rsidP="005B1EBF">
      <w:pPr>
        <w:widowControl/>
        <w:adjustRightInd w:val="0"/>
        <w:snapToGrid w:val="0"/>
        <w:spacing w:line="360" w:lineRule="auto"/>
        <w:jc w:val="left"/>
        <w:rPr>
          <w:rFonts w:ascii="仿宋_GB2312" w:eastAsia="仿宋_GB2312" w:hAnsi="微软雅黑" w:cs="宋体"/>
          <w:color w:val="000000"/>
          <w:kern w:val="0"/>
          <w:sz w:val="32"/>
          <w:szCs w:val="32"/>
        </w:rPr>
      </w:pPr>
      <w:r w:rsidRPr="005B1EBF">
        <w:rPr>
          <w:rFonts w:ascii="仿宋_GB2312" w:eastAsia="仿宋_GB2312" w:hAnsi="微软雅黑" w:cs="宋体" w:hint="eastAsia"/>
          <w:color w:val="000000"/>
          <w:kern w:val="0"/>
          <w:sz w:val="32"/>
          <w:szCs w:val="32"/>
        </w:rPr>
        <w:t> </w:t>
      </w:r>
    </w:p>
    <w:p w:rsidR="005B1EBF" w:rsidRDefault="005B1EBF" w:rsidP="005B1EBF">
      <w:pPr>
        <w:widowControl/>
        <w:adjustRightInd w:val="0"/>
        <w:snapToGrid w:val="0"/>
        <w:spacing w:line="360" w:lineRule="auto"/>
        <w:jc w:val="left"/>
        <w:rPr>
          <w:rFonts w:ascii="仿宋_GB2312" w:eastAsia="仿宋_GB2312" w:hAnsi="微软雅黑" w:cs="宋体"/>
          <w:color w:val="000000"/>
          <w:kern w:val="0"/>
          <w:sz w:val="32"/>
          <w:szCs w:val="32"/>
        </w:rPr>
      </w:pPr>
    </w:p>
    <w:p w:rsidR="005B1EBF" w:rsidRPr="005B1EBF" w:rsidRDefault="005B1EBF"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黑体" w:eastAsia="黑体" w:hAnsi="黑体" w:cs="宋体" w:hint="eastAsia"/>
          <w:color w:val="000000"/>
          <w:kern w:val="0"/>
          <w:sz w:val="32"/>
          <w:szCs w:val="32"/>
        </w:rPr>
        <w:t>附件</w:t>
      </w:r>
    </w:p>
    <w:p w:rsidR="007F109E" w:rsidRPr="005B1EBF" w:rsidRDefault="007F109E" w:rsidP="005B1EBF">
      <w:pPr>
        <w:widowControl/>
        <w:adjustRightInd w:val="0"/>
        <w:snapToGrid w:val="0"/>
        <w:spacing w:line="360" w:lineRule="auto"/>
        <w:jc w:val="center"/>
        <w:rPr>
          <w:rFonts w:ascii="方正小标宋简体" w:eastAsia="方正小标宋简体" w:hAnsi="微软雅黑" w:cs="宋体" w:hint="eastAsia"/>
          <w:color w:val="000000"/>
          <w:kern w:val="0"/>
          <w:sz w:val="32"/>
          <w:szCs w:val="32"/>
        </w:rPr>
      </w:pPr>
      <w:r w:rsidRPr="005B1EBF">
        <w:rPr>
          <w:rFonts w:ascii="方正小标宋简体" w:eastAsia="方正小标宋简体" w:hAnsi="微软雅黑" w:cs="宋体" w:hint="eastAsia"/>
          <w:bCs/>
          <w:color w:val="000000"/>
          <w:kern w:val="0"/>
          <w:sz w:val="32"/>
          <w:szCs w:val="32"/>
        </w:rPr>
        <w:t>2025年度决策咨询研究卫生健康专项课题指南</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bCs/>
          <w:color w:val="000000"/>
          <w:kern w:val="0"/>
          <w:sz w:val="32"/>
          <w:szCs w:val="32"/>
        </w:rPr>
        <w:t>一、健康优先发展战略的制度体系和实施路径研究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研究目的与要求</w:t>
      </w:r>
      <w:r w:rsidRPr="005B1EBF">
        <w:rPr>
          <w:rFonts w:ascii="仿宋_GB2312" w:eastAsia="仿宋_GB2312" w:hAnsi="微软雅黑" w:cs="宋体" w:hint="eastAsia"/>
          <w:color w:val="000000"/>
          <w:kern w:val="0"/>
          <w:sz w:val="32"/>
          <w:szCs w:val="32"/>
        </w:rPr>
        <w:t>：党的十八届五中全会首次提出推进健康中国建设,“健康中国”上升为国家战略。2016年，习近平总书记在全国卫生与健康大会上强调“要把人民健康放在优先发展的战略地位”，“将健康融入所有政策”成为党的卫生与健康工作方针的重要内容，党中央制定实施了《“健康中国2030”规划纲要》。党的二十届三中全会进一步明确“实施健康优先发展战略”。要实现从以疾病为中心向以健康为中心转变，不仅需要理念转变，还需要遵循将健康融入所有政策的方针，在服务体系、服务模式、人才队伍、科技支撑、财政投入、</w:t>
      </w:r>
      <w:proofErr w:type="gramStart"/>
      <w:r w:rsidRPr="005B1EBF">
        <w:rPr>
          <w:rFonts w:ascii="仿宋_GB2312" w:eastAsia="仿宋_GB2312" w:hAnsi="微软雅黑" w:cs="宋体" w:hint="eastAsia"/>
          <w:color w:val="000000"/>
          <w:kern w:val="0"/>
          <w:sz w:val="32"/>
          <w:szCs w:val="32"/>
        </w:rPr>
        <w:t>医</w:t>
      </w:r>
      <w:proofErr w:type="gramEnd"/>
      <w:r w:rsidRPr="005B1EBF">
        <w:rPr>
          <w:rFonts w:ascii="仿宋_GB2312" w:eastAsia="仿宋_GB2312" w:hAnsi="微软雅黑" w:cs="宋体" w:hint="eastAsia"/>
          <w:color w:val="000000"/>
          <w:kern w:val="0"/>
          <w:sz w:val="32"/>
          <w:szCs w:val="32"/>
        </w:rPr>
        <w:t>保支付等方面健</w:t>
      </w:r>
      <w:r w:rsidRPr="005B1EBF">
        <w:rPr>
          <w:rFonts w:ascii="仿宋_GB2312" w:eastAsia="仿宋_GB2312" w:hAnsi="微软雅黑" w:cs="宋体" w:hint="eastAsia"/>
          <w:color w:val="000000"/>
          <w:kern w:val="0"/>
          <w:sz w:val="32"/>
          <w:szCs w:val="32"/>
        </w:rPr>
        <w:lastRenderedPageBreak/>
        <w:t>全一系列制度性安排。本课题旨在立足将上海建成全球健康城市典范的目标，研究如何健全制度体系，明确实施路径，切实落实健康优先发展战略，推进健康上海建设。</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 </w:t>
      </w:r>
      <w:r w:rsidRPr="005B1EBF">
        <w:rPr>
          <w:rFonts w:ascii="仿宋_GB2312" w:eastAsia="仿宋_GB2312" w:hAnsi="微软雅黑" w:cs="宋体" w:hint="eastAsia"/>
          <w:b/>
          <w:color w:val="000000"/>
          <w:kern w:val="0"/>
          <w:sz w:val="32"/>
          <w:szCs w:val="32"/>
        </w:rPr>
        <w:t>研究方向与内容</w:t>
      </w:r>
      <w:r w:rsidRPr="005B1EBF">
        <w:rPr>
          <w:rFonts w:ascii="仿宋_GB2312" w:eastAsia="仿宋_GB2312" w:hAnsi="微软雅黑" w:cs="宋体" w:hint="eastAsia"/>
          <w:color w:val="000000"/>
          <w:kern w:val="0"/>
          <w:sz w:val="32"/>
          <w:szCs w:val="32"/>
        </w:rPr>
        <w:t>：1.“健康上海2030”实施情况的阶段性评估和目标差距分析；2.上海落实健康优先发展战略应该完善哪些制度和政策；3.如何建立健康影响评估制度，推动健康融入所有政策；4.对</w:t>
      </w:r>
      <w:proofErr w:type="gramStart"/>
      <w:r w:rsidRPr="005B1EBF">
        <w:rPr>
          <w:rFonts w:ascii="仿宋_GB2312" w:eastAsia="仿宋_GB2312" w:hAnsi="微软雅黑" w:cs="宋体" w:hint="eastAsia"/>
          <w:color w:val="000000"/>
          <w:kern w:val="0"/>
          <w:sz w:val="32"/>
          <w:szCs w:val="32"/>
        </w:rPr>
        <w:t>标建成</w:t>
      </w:r>
      <w:proofErr w:type="gramEnd"/>
      <w:r w:rsidRPr="005B1EBF">
        <w:rPr>
          <w:rFonts w:ascii="仿宋_GB2312" w:eastAsia="仿宋_GB2312" w:hAnsi="微软雅黑" w:cs="宋体" w:hint="eastAsia"/>
          <w:color w:val="000000"/>
          <w:kern w:val="0"/>
          <w:sz w:val="32"/>
          <w:szCs w:val="32"/>
        </w:rPr>
        <w:t>全球健康城市典范的目标，进一步推进健康上海建设的实施路径和举措。</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bCs/>
          <w:color w:val="000000"/>
          <w:kern w:val="0"/>
          <w:sz w:val="32"/>
          <w:szCs w:val="32"/>
        </w:rPr>
        <w:t> </w:t>
      </w:r>
      <w:r w:rsidRPr="005B1EBF">
        <w:rPr>
          <w:rFonts w:ascii="仿宋_GB2312" w:eastAsia="仿宋_GB2312" w:hAnsi="微软雅黑" w:cs="宋体" w:hint="eastAsia"/>
          <w:b/>
          <w:bCs/>
          <w:color w:val="000000"/>
          <w:kern w:val="0"/>
          <w:sz w:val="32"/>
          <w:szCs w:val="32"/>
        </w:rPr>
        <w:t>二、上海市深化公立医院薪酬制度改革路径和推进策略</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研究目的与要求</w:t>
      </w:r>
      <w:r w:rsidRPr="005B1EBF">
        <w:rPr>
          <w:rFonts w:ascii="仿宋_GB2312" w:eastAsia="仿宋_GB2312" w:hAnsi="微软雅黑" w:cs="宋体" w:hint="eastAsia"/>
          <w:color w:val="000000"/>
          <w:kern w:val="0"/>
          <w:sz w:val="32"/>
          <w:szCs w:val="32"/>
        </w:rPr>
        <w:t>：党的二十届三中全会提出了完善薪酬制度的改革任务。国家卫生健康委雷海潮主任关于《深化医药卫生体制改革》中指出：深化公立医院薪酬制度改革，落实“两个允许”，进一步完善绩效评价机制，优化薪酬结构，逐步提高医务人员固定收入占比，推动医疗机构不同科室、不同岗位薪酬更加合理，加快建立体现岗位职责和技术劳动价值的薪酬体系。公立医院薪酬制度改革是公立医院深化改革、坚持公立医院公益性的重要内容之一。公立医院薪酬制度与公立医院的补偿机制、管理机制、筹资渠道、知识价值体现和社会承受能力平衡等体制机制密切相关，对医院的运营模式、医务人员的医疗行为有显著的引导作用。本课题旨在立足上海实际，结合《关</w:t>
      </w:r>
      <w:r w:rsidRPr="005B1EBF">
        <w:rPr>
          <w:rFonts w:ascii="仿宋_GB2312" w:eastAsia="仿宋_GB2312" w:hAnsi="微软雅黑" w:cs="宋体" w:hint="eastAsia"/>
          <w:color w:val="000000"/>
          <w:kern w:val="0"/>
          <w:sz w:val="32"/>
          <w:szCs w:val="32"/>
        </w:rPr>
        <w:lastRenderedPageBreak/>
        <w:t>于深化公立医院薪酬制度改革的指导意见》（</w:t>
      </w:r>
      <w:proofErr w:type="gramStart"/>
      <w:r w:rsidRPr="005B1EBF">
        <w:rPr>
          <w:rFonts w:ascii="仿宋_GB2312" w:eastAsia="仿宋_GB2312" w:hAnsi="微软雅黑" w:cs="宋体" w:hint="eastAsia"/>
          <w:color w:val="000000"/>
          <w:kern w:val="0"/>
          <w:sz w:val="32"/>
          <w:szCs w:val="32"/>
        </w:rPr>
        <w:t>人社部</w:t>
      </w:r>
      <w:proofErr w:type="gramEnd"/>
      <w:r w:rsidRPr="005B1EBF">
        <w:rPr>
          <w:rFonts w:ascii="仿宋_GB2312" w:eastAsia="仿宋_GB2312" w:hAnsi="微软雅黑" w:cs="宋体" w:hint="eastAsia"/>
          <w:color w:val="000000"/>
          <w:kern w:val="0"/>
          <w:sz w:val="32"/>
          <w:szCs w:val="32"/>
        </w:rPr>
        <w:t>发〔2021〕52号）精神和三明</w:t>
      </w:r>
      <w:proofErr w:type="gramStart"/>
      <w:r w:rsidRPr="005B1EBF">
        <w:rPr>
          <w:rFonts w:ascii="仿宋_GB2312" w:eastAsia="仿宋_GB2312" w:hAnsi="微软雅黑" w:cs="宋体" w:hint="eastAsia"/>
          <w:color w:val="000000"/>
          <w:kern w:val="0"/>
          <w:sz w:val="32"/>
          <w:szCs w:val="32"/>
        </w:rPr>
        <w:t>医</w:t>
      </w:r>
      <w:proofErr w:type="gramEnd"/>
      <w:r w:rsidRPr="005B1EBF">
        <w:rPr>
          <w:rFonts w:ascii="仿宋_GB2312" w:eastAsia="仿宋_GB2312" w:hAnsi="微软雅黑" w:cs="宋体" w:hint="eastAsia"/>
          <w:color w:val="000000"/>
          <w:kern w:val="0"/>
          <w:sz w:val="32"/>
          <w:szCs w:val="32"/>
        </w:rPr>
        <w:t>改“全员目标年薪制、年薪计算工分制”的薪酬制度改革探索，研究提出深化本市公立医院薪酬制度改革的路径和推进策略。</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研究方向与内容</w:t>
      </w:r>
      <w:r w:rsidRPr="005B1EBF">
        <w:rPr>
          <w:rFonts w:ascii="仿宋_GB2312" w:eastAsia="仿宋_GB2312" w:hAnsi="微软雅黑" w:cs="宋体" w:hint="eastAsia"/>
          <w:color w:val="000000"/>
          <w:kern w:val="0"/>
          <w:sz w:val="32"/>
          <w:szCs w:val="32"/>
        </w:rPr>
        <w:t>：1.梳理我国公立医院薪酬制度改革的历史沿革、改革背景；2.系统梳理我国各省市公立医院薪酬制度改革的探索与实践；3.探讨本市落实“两个允许”要求，科学核定公立医院薪酬水平及建立动态调整机制的方法；4.提出合理解决薪酬制度改革经费来源的建议；5.结合医疗卫生服务体系现代化建设、紧密型城市医疗集团建设改革要求，提出优化本市公立医院薪酬结构（不同层级医院之间、不同学科专业之间、固定收入合理比重）等的建议；5.提出本市深化公立医院薪酬制度改革的推进策略和实施步骤。</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bCs/>
          <w:color w:val="000000"/>
          <w:kern w:val="0"/>
          <w:sz w:val="32"/>
          <w:szCs w:val="32"/>
        </w:rPr>
        <w:t>三、深化医疗服务价格改革，建立以医疗服务为主导的收费机制研究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 </w:t>
      </w:r>
      <w:r w:rsidRPr="005B1EBF">
        <w:rPr>
          <w:rFonts w:ascii="仿宋_GB2312" w:eastAsia="仿宋_GB2312" w:hAnsi="微软雅黑" w:cs="宋体" w:hint="eastAsia"/>
          <w:b/>
          <w:color w:val="000000"/>
          <w:kern w:val="0"/>
          <w:sz w:val="32"/>
          <w:szCs w:val="32"/>
        </w:rPr>
        <w:t>研究目的与要求</w:t>
      </w:r>
      <w:r w:rsidRPr="005B1EBF">
        <w:rPr>
          <w:rFonts w:ascii="仿宋_GB2312" w:eastAsia="仿宋_GB2312" w:hAnsi="微软雅黑" w:cs="宋体" w:hint="eastAsia"/>
          <w:color w:val="000000"/>
          <w:kern w:val="0"/>
          <w:sz w:val="32"/>
          <w:szCs w:val="32"/>
        </w:rPr>
        <w:t>：党的二十届三中全会明确提出了“建立以医疗服务价格为主导的收费机制”的改革任务。医疗服务价格改革与动态调整是深化医药服务供给</w:t>
      </w:r>
      <w:proofErr w:type="gramStart"/>
      <w:r w:rsidRPr="005B1EBF">
        <w:rPr>
          <w:rFonts w:ascii="仿宋_GB2312" w:eastAsia="仿宋_GB2312" w:hAnsi="微软雅黑" w:cs="宋体" w:hint="eastAsia"/>
          <w:color w:val="000000"/>
          <w:kern w:val="0"/>
          <w:sz w:val="32"/>
          <w:szCs w:val="32"/>
        </w:rPr>
        <w:t>侧改革</w:t>
      </w:r>
      <w:proofErr w:type="gramEnd"/>
      <w:r w:rsidRPr="005B1EBF">
        <w:rPr>
          <w:rFonts w:ascii="仿宋_GB2312" w:eastAsia="仿宋_GB2312" w:hAnsi="微软雅黑" w:cs="宋体" w:hint="eastAsia"/>
          <w:color w:val="000000"/>
          <w:kern w:val="0"/>
          <w:sz w:val="32"/>
          <w:szCs w:val="32"/>
        </w:rPr>
        <w:t>的重要手段，对于促进公立医院可持续发展、调动和提高广大医务人员积极性、推动年薪制改革等具有重要意义。本课题旨在系统梳理新医改以来医疗服务价格改革方向、</w:t>
      </w:r>
      <w:r w:rsidRPr="005B1EBF">
        <w:rPr>
          <w:rFonts w:ascii="仿宋_GB2312" w:eastAsia="仿宋_GB2312" w:hAnsi="微软雅黑" w:cs="宋体" w:hint="eastAsia"/>
          <w:color w:val="000000"/>
          <w:kern w:val="0"/>
          <w:sz w:val="32"/>
          <w:szCs w:val="32"/>
        </w:rPr>
        <w:lastRenderedPageBreak/>
        <w:t>取得的成效、改革运行效果，以及对</w:t>
      </w:r>
      <w:proofErr w:type="gramStart"/>
      <w:r w:rsidRPr="005B1EBF">
        <w:rPr>
          <w:rFonts w:ascii="仿宋_GB2312" w:eastAsia="仿宋_GB2312" w:hAnsi="微软雅黑" w:cs="宋体" w:hint="eastAsia"/>
          <w:color w:val="000000"/>
          <w:kern w:val="0"/>
          <w:sz w:val="32"/>
          <w:szCs w:val="32"/>
        </w:rPr>
        <w:t>医</w:t>
      </w:r>
      <w:proofErr w:type="gramEnd"/>
      <w:r w:rsidRPr="005B1EBF">
        <w:rPr>
          <w:rFonts w:ascii="仿宋_GB2312" w:eastAsia="仿宋_GB2312" w:hAnsi="微软雅黑" w:cs="宋体" w:hint="eastAsia"/>
          <w:color w:val="000000"/>
          <w:kern w:val="0"/>
          <w:sz w:val="32"/>
          <w:szCs w:val="32"/>
        </w:rPr>
        <w:t>、保、</w:t>
      </w:r>
      <w:proofErr w:type="gramStart"/>
      <w:r w:rsidRPr="005B1EBF">
        <w:rPr>
          <w:rFonts w:ascii="仿宋_GB2312" w:eastAsia="仿宋_GB2312" w:hAnsi="微软雅黑" w:cs="宋体" w:hint="eastAsia"/>
          <w:color w:val="000000"/>
          <w:kern w:val="0"/>
          <w:sz w:val="32"/>
          <w:szCs w:val="32"/>
        </w:rPr>
        <w:t>患各方</w:t>
      </w:r>
      <w:proofErr w:type="gramEnd"/>
      <w:r w:rsidRPr="005B1EBF">
        <w:rPr>
          <w:rFonts w:ascii="仿宋_GB2312" w:eastAsia="仿宋_GB2312" w:hAnsi="微软雅黑" w:cs="宋体" w:hint="eastAsia"/>
          <w:color w:val="000000"/>
          <w:kern w:val="0"/>
          <w:sz w:val="32"/>
          <w:szCs w:val="32"/>
        </w:rPr>
        <w:t>影响，围绕医疗服务性质、医疗服务市场特征、医疗服务定价、医疗服务价格规制等方面进行系统分析，开展建立以医疗服务为主导的收费机制研究，进一步明确深化医疗服务价格改革的路径和策略。</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研究方向与内容</w:t>
      </w:r>
      <w:r w:rsidRPr="005B1EBF">
        <w:rPr>
          <w:rFonts w:ascii="仿宋_GB2312" w:eastAsia="仿宋_GB2312" w:hAnsi="微软雅黑" w:cs="宋体" w:hint="eastAsia"/>
          <w:color w:val="000000"/>
          <w:kern w:val="0"/>
          <w:sz w:val="32"/>
          <w:szCs w:val="32"/>
        </w:rPr>
        <w:t>：1.系统梳理新医改以来医疗服务价格改革方向；2.研究分析本市医疗服务价格改革取得的成效、改革运行效果，以及存在的主要问题；3.对比分析三明、北京、浙江、江苏、广东等地医疗服务价格改革的路径和成效；4.围绕医疗服务性质、医疗服务市场特征、医疗服务定价、医疗服务价格规制等方面，开展建立以医疗服务为主导的收费机制研究，提出新一轮医疗服务价格改革的方向，储备一批医疗服务价格改革项目清单，开展医疗服务价格调整影响测算，研究提出医疗服务价格改革路径和策略。</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bCs/>
          <w:color w:val="000000"/>
          <w:kern w:val="0"/>
          <w:sz w:val="32"/>
          <w:szCs w:val="32"/>
        </w:rPr>
        <w:t>四、新时代生物医药产业全球化战略布局策略研究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研究目的与要求</w:t>
      </w:r>
      <w:r w:rsidRPr="005B1EBF">
        <w:rPr>
          <w:rFonts w:ascii="仿宋_GB2312" w:eastAsia="仿宋_GB2312" w:hAnsi="微软雅黑" w:cs="宋体" w:hint="eastAsia"/>
          <w:color w:val="000000"/>
          <w:kern w:val="0"/>
          <w:sz w:val="32"/>
          <w:szCs w:val="32"/>
        </w:rPr>
        <w:t>：党的二十届三中全会全面部署了“构建支持全面创新体制机制，深化医药卫生体制改革，健全支持创新药和医疗器械发展机制”的系列重要改革举措。发展生物医药产业是加快形成新质生产力的重要抓手，今年7月上海发布《关于支持生物医药产业全链条创</w:t>
      </w:r>
      <w:r w:rsidRPr="005B1EBF">
        <w:rPr>
          <w:rFonts w:ascii="仿宋_GB2312" w:eastAsia="仿宋_GB2312" w:hAnsi="微软雅黑" w:cs="宋体" w:hint="eastAsia"/>
          <w:color w:val="000000"/>
          <w:kern w:val="0"/>
          <w:sz w:val="32"/>
          <w:szCs w:val="32"/>
        </w:rPr>
        <w:lastRenderedPageBreak/>
        <w:t>新发展的若干意见》，全方位发力聚焦产业发展的痛点问题，助力打造新时代全球生物医药重大战略产业高地。</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我国正经历从制药大国到制药强国，再到全方位参与全球市场竞争与合作的关键发展阶段。“出海”是当下生物医药企业扩增收入、提升竞争力和品牌价值的重要发展战略。如何实现国际化战略宏图，以寻求新的增量, 提升国际化创新能力，是当下生物医药行业的一大命题。本课题旨在梳理生物医药产业出海发展历程和形势</w:t>
      </w:r>
      <w:proofErr w:type="gramStart"/>
      <w:r w:rsidRPr="005B1EBF">
        <w:rPr>
          <w:rFonts w:ascii="仿宋_GB2312" w:eastAsia="仿宋_GB2312" w:hAnsi="微软雅黑" w:cs="宋体" w:hint="eastAsia"/>
          <w:color w:val="000000"/>
          <w:kern w:val="0"/>
          <w:sz w:val="32"/>
          <w:szCs w:val="32"/>
        </w:rPr>
        <w:t>研</w:t>
      </w:r>
      <w:proofErr w:type="gramEnd"/>
      <w:r w:rsidRPr="005B1EBF">
        <w:rPr>
          <w:rFonts w:ascii="仿宋_GB2312" w:eastAsia="仿宋_GB2312" w:hAnsi="微软雅黑" w:cs="宋体" w:hint="eastAsia"/>
          <w:color w:val="000000"/>
          <w:kern w:val="0"/>
          <w:sz w:val="32"/>
          <w:szCs w:val="32"/>
        </w:rPr>
        <w:t>判的基础上，分析不同发展阶段产业出海模式和发展现状，提出新时代促进生物医药产业全球化战略布局的策略建议。</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研究方向与内容</w:t>
      </w:r>
      <w:r w:rsidRPr="005B1EBF">
        <w:rPr>
          <w:rFonts w:ascii="仿宋_GB2312" w:eastAsia="仿宋_GB2312" w:hAnsi="微软雅黑" w:cs="宋体" w:hint="eastAsia"/>
          <w:color w:val="000000"/>
          <w:kern w:val="0"/>
          <w:sz w:val="32"/>
          <w:szCs w:val="32"/>
        </w:rPr>
        <w:t>：1.系统梳理生物医药产业出海发展历程和阶段性特征；2.科学</w:t>
      </w:r>
      <w:proofErr w:type="gramStart"/>
      <w:r w:rsidRPr="005B1EBF">
        <w:rPr>
          <w:rFonts w:ascii="仿宋_GB2312" w:eastAsia="仿宋_GB2312" w:hAnsi="微软雅黑" w:cs="宋体" w:hint="eastAsia"/>
          <w:color w:val="000000"/>
          <w:kern w:val="0"/>
          <w:sz w:val="32"/>
          <w:szCs w:val="32"/>
        </w:rPr>
        <w:t>研</w:t>
      </w:r>
      <w:proofErr w:type="gramEnd"/>
      <w:r w:rsidRPr="005B1EBF">
        <w:rPr>
          <w:rFonts w:ascii="仿宋_GB2312" w:eastAsia="仿宋_GB2312" w:hAnsi="微软雅黑" w:cs="宋体" w:hint="eastAsia"/>
          <w:color w:val="000000"/>
          <w:kern w:val="0"/>
          <w:sz w:val="32"/>
          <w:szCs w:val="32"/>
        </w:rPr>
        <w:t>判生物医药产业出海面临的形势与挑战；3.系统分析现阶段不同出海模式及发展现状；4.基于现有政策环境的多维度分析，研究生物医药产业全球化不同周期和环节中的堵点问题；5.研究提炼现阶段生物医药产业全球化战略的关键因素并提出政策优化建议。</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bCs/>
          <w:color w:val="000000"/>
          <w:kern w:val="0"/>
          <w:sz w:val="32"/>
          <w:szCs w:val="32"/>
        </w:rPr>
        <w:t> </w:t>
      </w:r>
      <w:r w:rsidRPr="005B1EBF">
        <w:rPr>
          <w:rFonts w:ascii="仿宋_GB2312" w:eastAsia="仿宋_GB2312" w:hAnsi="微软雅黑" w:cs="宋体" w:hint="eastAsia"/>
          <w:b/>
          <w:bCs/>
          <w:color w:val="000000"/>
          <w:kern w:val="0"/>
          <w:sz w:val="32"/>
          <w:szCs w:val="32"/>
        </w:rPr>
        <w:t>五、科技赋能上海中医药产业创新发展的策略研究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 </w:t>
      </w:r>
      <w:r w:rsidRPr="005B1EBF">
        <w:rPr>
          <w:rFonts w:ascii="仿宋_GB2312" w:eastAsia="仿宋_GB2312" w:hAnsi="微软雅黑" w:cs="宋体" w:hint="eastAsia"/>
          <w:b/>
          <w:color w:val="000000"/>
          <w:kern w:val="0"/>
          <w:sz w:val="32"/>
          <w:szCs w:val="32"/>
        </w:rPr>
        <w:t>研究目的与要求</w:t>
      </w:r>
      <w:r w:rsidRPr="005B1EBF">
        <w:rPr>
          <w:rFonts w:ascii="仿宋_GB2312" w:eastAsia="仿宋_GB2312" w:hAnsi="微软雅黑" w:cs="宋体" w:hint="eastAsia"/>
          <w:color w:val="000000"/>
          <w:kern w:val="0"/>
          <w:sz w:val="32"/>
          <w:szCs w:val="32"/>
        </w:rPr>
        <w:t>：习近平《关于健康中国论述摘编》中指出：“要加强古典医籍精华的梳理和挖掘，建设一批科研支撑平台，改革完善中药审评审批机制，促进中药新药研发和产业发展。”“研发生产更多适合中国人生命基</w:t>
      </w:r>
      <w:r w:rsidRPr="005B1EBF">
        <w:rPr>
          <w:rFonts w:ascii="仿宋_GB2312" w:eastAsia="仿宋_GB2312" w:hAnsi="微软雅黑" w:cs="宋体" w:hint="eastAsia"/>
          <w:color w:val="000000"/>
          <w:kern w:val="0"/>
          <w:sz w:val="32"/>
          <w:szCs w:val="32"/>
        </w:rPr>
        <w:lastRenderedPageBreak/>
        <w:t>因传承和身体素质特点的‘中国药’，特别是要加强中医药传承创新发展。”本课题旨在聚焦本市中医药产业高质量发展目标，着眼于本市中医药产业发展现状和难点问题，阐明通过科技创新赋能产业高质量发展的具体策略。</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研究方向与内容</w:t>
      </w:r>
      <w:r w:rsidRPr="005B1EBF">
        <w:rPr>
          <w:rFonts w:ascii="仿宋_GB2312" w:eastAsia="仿宋_GB2312" w:hAnsi="微软雅黑" w:cs="宋体" w:hint="eastAsia"/>
          <w:color w:val="000000"/>
          <w:kern w:val="0"/>
          <w:sz w:val="32"/>
          <w:szCs w:val="32"/>
        </w:rPr>
        <w:t>：1.系统梳理本市中医药产业发展现状、中医药</w:t>
      </w:r>
      <w:proofErr w:type="gramStart"/>
      <w:r w:rsidRPr="005B1EBF">
        <w:rPr>
          <w:rFonts w:ascii="仿宋_GB2312" w:eastAsia="仿宋_GB2312" w:hAnsi="微软雅黑" w:cs="宋体" w:hint="eastAsia"/>
          <w:color w:val="000000"/>
          <w:kern w:val="0"/>
          <w:sz w:val="32"/>
          <w:szCs w:val="32"/>
        </w:rPr>
        <w:t>产业链各环节</w:t>
      </w:r>
      <w:proofErr w:type="gramEnd"/>
      <w:r w:rsidRPr="005B1EBF">
        <w:rPr>
          <w:rFonts w:ascii="仿宋_GB2312" w:eastAsia="仿宋_GB2312" w:hAnsi="微软雅黑" w:cs="宋体" w:hint="eastAsia"/>
          <w:color w:val="000000"/>
          <w:kern w:val="0"/>
          <w:sz w:val="32"/>
          <w:szCs w:val="32"/>
        </w:rPr>
        <w:t>存在的问题，分析中医药产业创新发展存在的主要难点和堵点；2.研究分析本市中医药产业发展的方向、中医药产业创新发展的重点领域；3.聚焦本市中医药产业高质量发展目标，研究如何通过科技创新赋能产业发展；4.研究提出科技赋能本市中医药产业高质量发展的发展策略和具体举措。</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bCs/>
          <w:color w:val="000000"/>
          <w:kern w:val="0"/>
          <w:sz w:val="32"/>
          <w:szCs w:val="32"/>
        </w:rPr>
        <w:t> </w:t>
      </w:r>
      <w:r w:rsidRPr="005B1EBF">
        <w:rPr>
          <w:rFonts w:ascii="仿宋_GB2312" w:eastAsia="仿宋_GB2312" w:hAnsi="微软雅黑" w:cs="宋体" w:hint="eastAsia"/>
          <w:b/>
          <w:bCs/>
          <w:color w:val="000000"/>
          <w:kern w:val="0"/>
          <w:sz w:val="32"/>
          <w:szCs w:val="32"/>
        </w:rPr>
        <w:t>六、</w:t>
      </w:r>
      <w:proofErr w:type="gramStart"/>
      <w:r w:rsidRPr="005B1EBF">
        <w:rPr>
          <w:rFonts w:ascii="仿宋_GB2312" w:eastAsia="仿宋_GB2312" w:hAnsi="微软雅黑" w:cs="宋体" w:hint="eastAsia"/>
          <w:b/>
          <w:bCs/>
          <w:color w:val="000000"/>
          <w:kern w:val="0"/>
          <w:sz w:val="32"/>
          <w:szCs w:val="32"/>
        </w:rPr>
        <w:t>疾控事业</w:t>
      </w:r>
      <w:proofErr w:type="gramEnd"/>
      <w:r w:rsidRPr="005B1EBF">
        <w:rPr>
          <w:rFonts w:ascii="仿宋_GB2312" w:eastAsia="仿宋_GB2312" w:hAnsi="微软雅黑" w:cs="宋体" w:hint="eastAsia"/>
          <w:b/>
          <w:bCs/>
          <w:color w:val="000000"/>
          <w:kern w:val="0"/>
          <w:sz w:val="32"/>
          <w:szCs w:val="32"/>
        </w:rPr>
        <w:t>高质量发展背景下本市免疫规划策略优化研究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 </w:t>
      </w:r>
      <w:r w:rsidRPr="005B1EBF">
        <w:rPr>
          <w:rFonts w:ascii="仿宋_GB2312" w:eastAsia="仿宋_GB2312" w:hAnsi="微软雅黑" w:cs="宋体" w:hint="eastAsia"/>
          <w:b/>
          <w:color w:val="000000"/>
          <w:kern w:val="0"/>
          <w:sz w:val="32"/>
          <w:szCs w:val="32"/>
        </w:rPr>
        <w:t>研究目的与要求</w:t>
      </w:r>
      <w:r w:rsidRPr="005B1EBF">
        <w:rPr>
          <w:rFonts w:ascii="仿宋_GB2312" w:eastAsia="仿宋_GB2312" w:hAnsi="微软雅黑" w:cs="宋体" w:hint="eastAsia"/>
          <w:color w:val="000000"/>
          <w:kern w:val="0"/>
          <w:sz w:val="32"/>
          <w:szCs w:val="32"/>
        </w:rPr>
        <w:t>：习近平《关于健康中国论述摘编》中指出：“预防是最经济最有效的健康策略。要坚决贯彻预防为主的卫生与健康工作方针，坚持常备不懈，将预防关口前移。”接种疫苗是预防控制传染病</w:t>
      </w:r>
      <w:proofErr w:type="gramStart"/>
      <w:r w:rsidRPr="005B1EBF">
        <w:rPr>
          <w:rFonts w:ascii="仿宋_GB2312" w:eastAsia="仿宋_GB2312" w:hAnsi="微软雅黑" w:cs="宋体" w:hint="eastAsia"/>
          <w:color w:val="000000"/>
          <w:kern w:val="0"/>
          <w:sz w:val="32"/>
          <w:szCs w:val="32"/>
        </w:rPr>
        <w:t>最</w:t>
      </w:r>
      <w:proofErr w:type="gramEnd"/>
      <w:r w:rsidRPr="005B1EBF">
        <w:rPr>
          <w:rFonts w:ascii="仿宋_GB2312" w:eastAsia="仿宋_GB2312" w:hAnsi="微软雅黑" w:cs="宋体" w:hint="eastAsia"/>
          <w:color w:val="000000"/>
          <w:kern w:val="0"/>
          <w:sz w:val="32"/>
          <w:szCs w:val="32"/>
        </w:rPr>
        <w:t>经济、最便捷和最有效的手段之一，是提高人民群众健康水平的重要手段。本课题旨在贯彻落实《中华人民共和国疫苗管理法》、</w:t>
      </w:r>
      <w:proofErr w:type="gramStart"/>
      <w:r w:rsidRPr="005B1EBF">
        <w:rPr>
          <w:rFonts w:ascii="仿宋_GB2312" w:eastAsia="仿宋_GB2312" w:hAnsi="微软雅黑" w:cs="宋体" w:hint="eastAsia"/>
          <w:color w:val="000000"/>
          <w:kern w:val="0"/>
          <w:sz w:val="32"/>
          <w:szCs w:val="32"/>
        </w:rPr>
        <w:t>国家疾控局</w:t>
      </w:r>
      <w:proofErr w:type="gramEnd"/>
      <w:r w:rsidRPr="005B1EBF">
        <w:rPr>
          <w:rFonts w:ascii="仿宋_GB2312" w:eastAsia="仿宋_GB2312" w:hAnsi="微软雅黑" w:cs="宋体" w:hint="eastAsia"/>
          <w:color w:val="000000"/>
          <w:kern w:val="0"/>
          <w:sz w:val="32"/>
          <w:szCs w:val="32"/>
        </w:rPr>
        <w:t>等10部门《关于印发全国疾病预防控制行动方案（2024-2025年）的通知》，以及市政府办公厅《关于推动本市疾病预防控制事业高质量发展的实施意</w:t>
      </w:r>
      <w:r w:rsidRPr="005B1EBF">
        <w:rPr>
          <w:rFonts w:ascii="仿宋_GB2312" w:eastAsia="仿宋_GB2312" w:hAnsi="微软雅黑" w:cs="宋体" w:hint="eastAsia"/>
          <w:color w:val="000000"/>
          <w:kern w:val="0"/>
          <w:sz w:val="32"/>
          <w:szCs w:val="32"/>
        </w:rPr>
        <w:lastRenderedPageBreak/>
        <w:t>见》等精神，结合二十届三中全会提出的“增强基本公共服务均衡性和可及性”的要求，开展本市免疫规划策略优化研究，促进本市预防接种服务提质增效。</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研究方向与内容</w:t>
      </w:r>
      <w:r w:rsidRPr="005B1EBF">
        <w:rPr>
          <w:rFonts w:ascii="仿宋_GB2312" w:eastAsia="仿宋_GB2312" w:hAnsi="微软雅黑" w:cs="宋体" w:hint="eastAsia"/>
          <w:color w:val="000000"/>
          <w:kern w:val="0"/>
          <w:sz w:val="32"/>
          <w:szCs w:val="32"/>
        </w:rPr>
        <w:t>：1.综合评价本市免疫规划服务体系和工作成效；2.研究分析预防接种工作面临的新形势和发展要求；3.结合本市疾病预防控制需要和市民健康需要，研究本市免疫规划疫苗动态调整机制和免疫策略；4.依托信息化、人工智能技术应用，研究制定智慧接种服务管理规范，进一步完善本市预防接种管理系统的公众服务功能；5.研究建立医疗卫生机构支持疫苗产业发展工作机制，研究科技赋能疫苗产业发展的支持政策。</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bCs/>
          <w:color w:val="000000"/>
          <w:kern w:val="0"/>
          <w:sz w:val="32"/>
          <w:szCs w:val="32"/>
        </w:rPr>
        <w:t> </w:t>
      </w:r>
      <w:r w:rsidRPr="005B1EBF">
        <w:rPr>
          <w:rFonts w:ascii="仿宋_GB2312" w:eastAsia="仿宋_GB2312" w:hAnsi="微软雅黑" w:cs="宋体" w:hint="eastAsia"/>
          <w:b/>
          <w:bCs/>
          <w:color w:val="000000"/>
          <w:kern w:val="0"/>
          <w:sz w:val="32"/>
          <w:szCs w:val="32"/>
        </w:rPr>
        <w:t>七、医疗卫生监管模式创新研究</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b/>
          <w:color w:val="000000"/>
          <w:kern w:val="0"/>
          <w:sz w:val="32"/>
          <w:szCs w:val="32"/>
        </w:rPr>
        <w:t>研究目的与要求</w:t>
      </w:r>
      <w:r w:rsidRPr="005B1EBF">
        <w:rPr>
          <w:rFonts w:ascii="仿宋_GB2312" w:eastAsia="仿宋_GB2312" w:hAnsi="微软雅黑" w:cs="宋体" w:hint="eastAsia"/>
          <w:color w:val="000000"/>
          <w:kern w:val="0"/>
          <w:sz w:val="32"/>
          <w:szCs w:val="32"/>
        </w:rPr>
        <w:t>：党的二十届三中全会明确提出：“创新医疗卫生监管手段”的改革任务。国家卫生健康委雷海潮主任关于《深化医药卫生体制改革》中指出：创新医疗卫生行业综合监管手段，强化机构监管、行为监管、功能监管、穿透式监管、持续监管，进一步提升监管效能。随着数字化、信息化、智能化的发展，互联网医疗、</w:t>
      </w:r>
      <w:proofErr w:type="gramStart"/>
      <w:r w:rsidRPr="005B1EBF">
        <w:rPr>
          <w:rFonts w:ascii="仿宋_GB2312" w:eastAsia="仿宋_GB2312" w:hAnsi="微软雅黑" w:cs="宋体" w:hint="eastAsia"/>
          <w:color w:val="000000"/>
          <w:kern w:val="0"/>
          <w:sz w:val="32"/>
          <w:szCs w:val="32"/>
        </w:rPr>
        <w:t>医疗大</w:t>
      </w:r>
      <w:proofErr w:type="gramEnd"/>
      <w:r w:rsidRPr="005B1EBF">
        <w:rPr>
          <w:rFonts w:ascii="仿宋_GB2312" w:eastAsia="仿宋_GB2312" w:hAnsi="微软雅黑" w:cs="宋体" w:hint="eastAsia"/>
          <w:color w:val="000000"/>
          <w:kern w:val="0"/>
          <w:sz w:val="32"/>
          <w:szCs w:val="32"/>
        </w:rPr>
        <w:t>数据、医学人工智能在医疗卫生行业广泛应用，对医疗卫生监管模式创新提出了新要求。同时，如何加强医疗卫生包容审慎监管的制度化、规范化建设，助力优化整体营商环境，也是医疗卫生监管面临的新形势。本课题旨</w:t>
      </w:r>
      <w:r w:rsidRPr="005B1EBF">
        <w:rPr>
          <w:rFonts w:ascii="仿宋_GB2312" w:eastAsia="仿宋_GB2312" w:hAnsi="微软雅黑" w:cs="宋体" w:hint="eastAsia"/>
          <w:color w:val="000000"/>
          <w:kern w:val="0"/>
          <w:sz w:val="32"/>
          <w:szCs w:val="32"/>
        </w:rPr>
        <w:lastRenderedPageBreak/>
        <w:t>在科学</w:t>
      </w:r>
      <w:proofErr w:type="gramStart"/>
      <w:r w:rsidRPr="005B1EBF">
        <w:rPr>
          <w:rFonts w:ascii="仿宋_GB2312" w:eastAsia="仿宋_GB2312" w:hAnsi="微软雅黑" w:cs="宋体" w:hint="eastAsia"/>
          <w:color w:val="000000"/>
          <w:kern w:val="0"/>
          <w:sz w:val="32"/>
          <w:szCs w:val="32"/>
        </w:rPr>
        <w:t>研判医疗</w:t>
      </w:r>
      <w:proofErr w:type="gramEnd"/>
      <w:r w:rsidRPr="005B1EBF">
        <w:rPr>
          <w:rFonts w:ascii="仿宋_GB2312" w:eastAsia="仿宋_GB2312" w:hAnsi="微软雅黑" w:cs="宋体" w:hint="eastAsia"/>
          <w:color w:val="000000"/>
          <w:kern w:val="0"/>
          <w:sz w:val="32"/>
          <w:szCs w:val="32"/>
        </w:rPr>
        <w:t>卫生监管面临的新形势、新要求的基础上，研究如何健全和完善“机构自治、行业自律、政府监管、社会监督”相结合的多元化综合监管体系，推进智慧监管、信用监管等创新监管模式的应用，进一步强化包容审慎监管制度建设。</w:t>
      </w:r>
    </w:p>
    <w:p w:rsidR="007F109E" w:rsidRPr="005B1EBF" w:rsidRDefault="007F109E" w:rsidP="005B1EBF">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5B1EBF">
        <w:rPr>
          <w:rFonts w:ascii="仿宋_GB2312" w:eastAsia="仿宋_GB2312" w:hAnsi="微软雅黑" w:cs="宋体" w:hint="eastAsia"/>
          <w:color w:val="000000"/>
          <w:kern w:val="0"/>
          <w:sz w:val="32"/>
          <w:szCs w:val="32"/>
        </w:rPr>
        <w:t> </w:t>
      </w:r>
      <w:r w:rsidRPr="005B1EBF">
        <w:rPr>
          <w:rFonts w:ascii="仿宋_GB2312" w:eastAsia="仿宋_GB2312" w:hAnsi="微软雅黑" w:cs="宋体" w:hint="eastAsia"/>
          <w:color w:val="000000"/>
          <w:kern w:val="0"/>
          <w:sz w:val="32"/>
          <w:szCs w:val="32"/>
        </w:rPr>
        <w:t> </w:t>
      </w:r>
      <w:bookmarkStart w:id="0" w:name="_GoBack"/>
      <w:r w:rsidRPr="005B1EBF">
        <w:rPr>
          <w:rFonts w:ascii="仿宋_GB2312" w:eastAsia="仿宋_GB2312" w:hAnsi="微软雅黑" w:cs="宋体" w:hint="eastAsia"/>
          <w:b/>
          <w:color w:val="000000"/>
          <w:kern w:val="0"/>
          <w:sz w:val="32"/>
          <w:szCs w:val="32"/>
        </w:rPr>
        <w:t>研究方向与内容</w:t>
      </w:r>
      <w:bookmarkEnd w:id="0"/>
      <w:r w:rsidRPr="005B1EBF">
        <w:rPr>
          <w:rFonts w:ascii="仿宋_GB2312" w:eastAsia="仿宋_GB2312" w:hAnsi="微软雅黑" w:cs="宋体" w:hint="eastAsia"/>
          <w:color w:val="000000"/>
          <w:kern w:val="0"/>
          <w:sz w:val="32"/>
          <w:szCs w:val="32"/>
        </w:rPr>
        <w:t>：1.系统梳理医疗卫生监管历史沿革和改革脉络；2.科学</w:t>
      </w:r>
      <w:proofErr w:type="gramStart"/>
      <w:r w:rsidRPr="005B1EBF">
        <w:rPr>
          <w:rFonts w:ascii="仿宋_GB2312" w:eastAsia="仿宋_GB2312" w:hAnsi="微软雅黑" w:cs="宋体" w:hint="eastAsia"/>
          <w:color w:val="000000"/>
          <w:kern w:val="0"/>
          <w:sz w:val="32"/>
          <w:szCs w:val="32"/>
        </w:rPr>
        <w:t>研判医疗</w:t>
      </w:r>
      <w:proofErr w:type="gramEnd"/>
      <w:r w:rsidRPr="005B1EBF">
        <w:rPr>
          <w:rFonts w:ascii="仿宋_GB2312" w:eastAsia="仿宋_GB2312" w:hAnsi="微软雅黑" w:cs="宋体" w:hint="eastAsia"/>
          <w:color w:val="000000"/>
          <w:kern w:val="0"/>
          <w:sz w:val="32"/>
          <w:szCs w:val="32"/>
        </w:rPr>
        <w:t>卫生监管面临的新形势、新问题；3.开展医疗卫生监管模式国内外比较分析；4.基于监管目标和监管效果，研究重塑监管规则和监管标准；5.研究医疗卫生监管模式创新的具体方向和路径、改革举措。</w:t>
      </w:r>
    </w:p>
    <w:p w:rsidR="005B2580" w:rsidRPr="005B1EBF" w:rsidRDefault="0000304C" w:rsidP="005B1EBF">
      <w:pPr>
        <w:adjustRightInd w:val="0"/>
        <w:snapToGrid w:val="0"/>
        <w:spacing w:line="360" w:lineRule="auto"/>
        <w:rPr>
          <w:rFonts w:ascii="仿宋_GB2312" w:eastAsia="仿宋_GB2312" w:hint="eastAsia"/>
          <w:sz w:val="32"/>
          <w:szCs w:val="32"/>
        </w:rPr>
      </w:pPr>
    </w:p>
    <w:sectPr w:rsidR="005B2580" w:rsidRPr="005B1EB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04C" w:rsidRDefault="0000304C" w:rsidP="005B1EBF">
      <w:r>
        <w:separator/>
      </w:r>
    </w:p>
  </w:endnote>
  <w:endnote w:type="continuationSeparator" w:id="0">
    <w:p w:rsidR="0000304C" w:rsidRDefault="0000304C" w:rsidP="005B1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405887"/>
      <w:docPartObj>
        <w:docPartGallery w:val="Page Numbers (Bottom of Page)"/>
        <w:docPartUnique/>
      </w:docPartObj>
    </w:sdtPr>
    <w:sdtContent>
      <w:p w:rsidR="005B1EBF" w:rsidRDefault="005B1EBF">
        <w:pPr>
          <w:pStyle w:val="a7"/>
          <w:jc w:val="center"/>
        </w:pPr>
        <w:r>
          <w:fldChar w:fldCharType="begin"/>
        </w:r>
        <w:r>
          <w:instrText>PAGE   \* MERGEFORMAT</w:instrText>
        </w:r>
        <w:r>
          <w:fldChar w:fldCharType="separate"/>
        </w:r>
        <w:r w:rsidRPr="005B1EBF">
          <w:rPr>
            <w:noProof/>
            <w:lang w:val="zh-CN"/>
          </w:rPr>
          <w:t>11</w:t>
        </w:r>
        <w:r>
          <w:fldChar w:fldCharType="end"/>
        </w:r>
      </w:p>
    </w:sdtContent>
  </w:sdt>
  <w:p w:rsidR="005B1EBF" w:rsidRDefault="005B1EB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04C" w:rsidRDefault="0000304C" w:rsidP="005B1EBF">
      <w:r>
        <w:separator/>
      </w:r>
    </w:p>
  </w:footnote>
  <w:footnote w:type="continuationSeparator" w:id="0">
    <w:p w:rsidR="0000304C" w:rsidRDefault="0000304C" w:rsidP="005B1E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F8"/>
    <w:rsid w:val="0000304C"/>
    <w:rsid w:val="005B1EBF"/>
    <w:rsid w:val="007F109E"/>
    <w:rsid w:val="00827114"/>
    <w:rsid w:val="00E44FE3"/>
    <w:rsid w:val="00E528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5083E"/>
  <w15:chartTrackingRefBased/>
  <w15:docId w15:val="{712ACFBC-41AE-4CB4-ADF9-B6538F799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isidecifaspan">
    <w:name w:val="misidecifaspan"/>
    <w:basedOn w:val="a0"/>
    <w:rsid w:val="007F109E"/>
  </w:style>
  <w:style w:type="paragraph" w:styleId="a3">
    <w:name w:val="Normal (Web)"/>
    <w:basedOn w:val="a"/>
    <w:uiPriority w:val="99"/>
    <w:semiHidden/>
    <w:unhideWhenUsed/>
    <w:rsid w:val="007F109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F109E"/>
    <w:rPr>
      <w:b/>
      <w:bCs/>
    </w:rPr>
  </w:style>
  <w:style w:type="paragraph" w:styleId="a5">
    <w:name w:val="header"/>
    <w:basedOn w:val="a"/>
    <w:link w:val="a6"/>
    <w:uiPriority w:val="99"/>
    <w:unhideWhenUsed/>
    <w:rsid w:val="005B1EB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B1EBF"/>
    <w:rPr>
      <w:sz w:val="18"/>
      <w:szCs w:val="18"/>
    </w:rPr>
  </w:style>
  <w:style w:type="paragraph" w:styleId="a7">
    <w:name w:val="footer"/>
    <w:basedOn w:val="a"/>
    <w:link w:val="a8"/>
    <w:uiPriority w:val="99"/>
    <w:unhideWhenUsed/>
    <w:rsid w:val="005B1EBF"/>
    <w:pPr>
      <w:tabs>
        <w:tab w:val="center" w:pos="4153"/>
        <w:tab w:val="right" w:pos="8306"/>
      </w:tabs>
      <w:snapToGrid w:val="0"/>
      <w:jc w:val="left"/>
    </w:pPr>
    <w:rPr>
      <w:sz w:val="18"/>
      <w:szCs w:val="18"/>
    </w:rPr>
  </w:style>
  <w:style w:type="character" w:customStyle="1" w:styleId="a8">
    <w:name w:val="页脚 字符"/>
    <w:basedOn w:val="a0"/>
    <w:link w:val="a7"/>
    <w:uiPriority w:val="99"/>
    <w:rsid w:val="005B1E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7413215">
      <w:bodyDiv w:val="1"/>
      <w:marLeft w:val="0"/>
      <w:marRight w:val="0"/>
      <w:marTop w:val="0"/>
      <w:marBottom w:val="0"/>
      <w:divBdr>
        <w:top w:val="none" w:sz="0" w:space="0" w:color="auto"/>
        <w:left w:val="none" w:sz="0" w:space="0" w:color="auto"/>
        <w:bottom w:val="none" w:sz="0" w:space="0" w:color="auto"/>
        <w:right w:val="none" w:sz="0" w:space="0" w:color="auto"/>
      </w:divBdr>
      <w:divsChild>
        <w:div w:id="313071487">
          <w:marLeft w:val="0"/>
          <w:marRight w:val="0"/>
          <w:marTop w:val="150"/>
          <w:marBottom w:val="150"/>
          <w:divBdr>
            <w:top w:val="none" w:sz="0" w:space="0" w:color="auto"/>
            <w:left w:val="none" w:sz="0" w:space="0" w:color="auto"/>
            <w:bottom w:val="none" w:sz="0" w:space="0" w:color="auto"/>
            <w:right w:val="none" w:sz="0" w:space="0" w:color="auto"/>
          </w:divBdr>
        </w:div>
        <w:div w:id="1778325585">
          <w:marLeft w:val="0"/>
          <w:marRight w:val="0"/>
          <w:marTop w:val="75"/>
          <w:marBottom w:val="75"/>
          <w:divBdr>
            <w:top w:val="none" w:sz="0" w:space="0" w:color="auto"/>
            <w:left w:val="none" w:sz="0" w:space="0" w:color="auto"/>
            <w:bottom w:val="none" w:sz="0" w:space="0" w:color="auto"/>
            <w:right w:val="none" w:sz="0" w:space="0" w:color="auto"/>
          </w:divBdr>
          <w:divsChild>
            <w:div w:id="1808352353">
              <w:marLeft w:val="105"/>
              <w:marRight w:val="105"/>
              <w:marTop w:val="0"/>
              <w:marBottom w:val="0"/>
              <w:divBdr>
                <w:top w:val="none" w:sz="0" w:space="0" w:color="auto"/>
                <w:left w:val="none" w:sz="0" w:space="0" w:color="auto"/>
                <w:bottom w:val="none" w:sz="0" w:space="0" w:color="auto"/>
                <w:right w:val="none" w:sz="0" w:space="0" w:color="auto"/>
              </w:divBdr>
            </w:div>
            <w:div w:id="1209873105">
              <w:marLeft w:val="105"/>
              <w:marRight w:val="105"/>
              <w:marTop w:val="0"/>
              <w:marBottom w:val="0"/>
              <w:divBdr>
                <w:top w:val="none" w:sz="0" w:space="0" w:color="auto"/>
                <w:left w:val="none" w:sz="0" w:space="0" w:color="auto"/>
                <w:bottom w:val="none" w:sz="0" w:space="0" w:color="auto"/>
                <w:right w:val="none" w:sz="0" w:space="0" w:color="auto"/>
              </w:divBdr>
            </w:div>
            <w:div w:id="8603239">
              <w:marLeft w:val="105"/>
              <w:marRight w:val="105"/>
              <w:marTop w:val="0"/>
              <w:marBottom w:val="0"/>
              <w:divBdr>
                <w:top w:val="none" w:sz="0" w:space="0" w:color="auto"/>
                <w:left w:val="none" w:sz="0" w:space="0" w:color="auto"/>
                <w:bottom w:val="none" w:sz="0" w:space="0" w:color="auto"/>
                <w:right w:val="none" w:sz="0" w:space="0" w:color="auto"/>
              </w:divBdr>
            </w:div>
          </w:divsChild>
        </w:div>
        <w:div w:id="1960213175">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742</Words>
  <Characters>4233</Characters>
  <Application>Microsoft Office Word</Application>
  <DocSecurity>0</DocSecurity>
  <Lines>35</Lines>
  <Paragraphs>9</Paragraphs>
  <ScaleCrop>false</ScaleCrop>
  <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3</cp:revision>
  <dcterms:created xsi:type="dcterms:W3CDTF">2025-01-26T05:08:00Z</dcterms:created>
  <dcterms:modified xsi:type="dcterms:W3CDTF">2025-01-26T06:19:00Z</dcterms:modified>
</cp:coreProperties>
</file>