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A323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kern w:val="2"/>
          <w:sz w:val="44"/>
          <w:szCs w:val="44"/>
          <w:highlight w:val="none"/>
          <w:lang w:val="en-US" w:eastAsia="zh-CN" w:bidi="ar-SA"/>
        </w:rPr>
      </w:pPr>
      <w:r>
        <w:rPr>
          <w:rFonts w:hint="eastAsia" w:ascii="方正小标宋简体" w:hAnsi="方正小标宋简体" w:eastAsia="方正小标宋简体" w:cs="方正小标宋简体"/>
          <w:b w:val="0"/>
          <w:bCs/>
          <w:kern w:val="2"/>
          <w:sz w:val="44"/>
          <w:szCs w:val="44"/>
          <w:highlight w:val="none"/>
          <w:lang w:val="en-US" w:eastAsia="zh-CN" w:bidi="ar-SA"/>
        </w:rPr>
        <w:t>上海对外经贸大学第三方用户用水用能</w:t>
      </w:r>
    </w:p>
    <w:p w14:paraId="42CE44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kern w:val="2"/>
          <w:sz w:val="32"/>
          <w:szCs w:val="32"/>
          <w:highlight w:val="none"/>
          <w:lang w:val="en-US" w:eastAsia="zh-CN" w:bidi="ar-SA"/>
        </w:rPr>
      </w:pPr>
      <w:r>
        <w:rPr>
          <w:rFonts w:hint="eastAsia" w:ascii="方正小标宋简体" w:hAnsi="方正小标宋简体" w:eastAsia="方正小标宋简体" w:cs="方正小标宋简体"/>
          <w:b w:val="0"/>
          <w:bCs/>
          <w:kern w:val="2"/>
          <w:sz w:val="44"/>
          <w:szCs w:val="44"/>
          <w:highlight w:val="none"/>
          <w:lang w:val="en-US" w:eastAsia="zh-CN" w:bidi="ar-SA"/>
        </w:rPr>
        <w:t>责任书（2025版）</w:t>
      </w:r>
    </w:p>
    <w:p w14:paraId="751CAD2A">
      <w:pPr>
        <w:keepNext w:val="0"/>
        <w:keepLines w:val="0"/>
        <w:pageBreakBefore w:val="0"/>
        <w:widowControl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b/>
          <w:kern w:val="2"/>
          <w:sz w:val="32"/>
          <w:szCs w:val="32"/>
          <w:highlight w:val="none"/>
          <w:lang w:val="en-US" w:eastAsia="zh-CN" w:bidi="ar-SA"/>
        </w:rPr>
      </w:pPr>
    </w:p>
    <w:p w14:paraId="529D0980">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default"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甲方（引进第三方用户的单位/部门）：</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 xml:space="preserve">  </w:t>
      </w:r>
    </w:p>
    <w:p w14:paraId="788E49C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b/>
          <w:bCs/>
          <w:kern w:val="2"/>
          <w:sz w:val="32"/>
          <w:szCs w:val="32"/>
          <w:highlight w:val="none"/>
          <w:u w:val="single"/>
          <w:lang w:val="en-US" w:eastAsia="zh-CN" w:bidi="ar-SA"/>
        </w:rPr>
      </w:pPr>
      <w:r>
        <w:rPr>
          <w:rFonts w:hint="eastAsia" w:ascii="仿宋_GB2312" w:hAnsi="仿宋_GB2312" w:eastAsia="仿宋_GB2312" w:cs="仿宋_GB2312"/>
          <w:b/>
          <w:bCs/>
          <w:kern w:val="2"/>
          <w:sz w:val="32"/>
          <w:szCs w:val="32"/>
          <w:highlight w:val="none"/>
          <w:lang w:val="en-US" w:eastAsia="zh-CN" w:bidi="ar-SA"/>
        </w:rPr>
        <w:t>联系人：</w:t>
      </w:r>
      <w:r>
        <w:rPr>
          <w:rFonts w:hint="eastAsia" w:ascii="仿宋_GB2312" w:hAnsi="仿宋_GB2312" w:eastAsia="仿宋_GB2312" w:cs="仿宋_GB2312"/>
          <w:b/>
          <w:bCs/>
          <w:kern w:val="2"/>
          <w:sz w:val="32"/>
          <w:szCs w:val="32"/>
          <w:highlight w:val="none"/>
          <w:u w:val="single"/>
          <w:lang w:val="en-US" w:eastAsia="zh-CN" w:bidi="ar-SA"/>
        </w:rPr>
        <w:t xml:space="preserve">                 </w:t>
      </w:r>
    </w:p>
    <w:p w14:paraId="3DAE5D76">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联系电话：</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 xml:space="preserve">        </w:t>
      </w:r>
    </w:p>
    <w:p w14:paraId="2A16B6ED">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地址：上海对外经贸大学</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校区</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楼</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室</w:t>
      </w:r>
    </w:p>
    <w:p w14:paraId="151D03FE">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b/>
          <w:bCs/>
          <w:kern w:val="2"/>
          <w:sz w:val="32"/>
          <w:szCs w:val="32"/>
          <w:highlight w:val="none"/>
          <w:u w:val="single"/>
          <w:lang w:val="en-US" w:eastAsia="zh-CN" w:bidi="ar-SA"/>
        </w:rPr>
      </w:pPr>
      <w:r>
        <w:rPr>
          <w:rFonts w:hint="eastAsia" w:ascii="仿宋_GB2312" w:hAnsi="仿宋_GB2312" w:eastAsia="仿宋_GB2312" w:cs="仿宋_GB2312"/>
          <w:b/>
          <w:bCs/>
          <w:kern w:val="2"/>
          <w:sz w:val="32"/>
          <w:szCs w:val="32"/>
          <w:highlight w:val="none"/>
          <w:lang w:val="en-US" w:eastAsia="zh-CN" w:bidi="ar-SA"/>
        </w:rPr>
        <w:t>乙方（第三方用户）：</w:t>
      </w:r>
      <w:r>
        <w:rPr>
          <w:rFonts w:hint="eastAsia" w:ascii="仿宋_GB2312" w:hAnsi="仿宋_GB2312" w:eastAsia="仿宋_GB2312" w:cs="仿宋_GB2312"/>
          <w:b/>
          <w:bCs/>
          <w:kern w:val="2"/>
          <w:sz w:val="32"/>
          <w:szCs w:val="32"/>
          <w:highlight w:val="none"/>
          <w:u w:val="single"/>
          <w:lang w:val="en-US" w:eastAsia="zh-CN" w:bidi="ar-SA"/>
        </w:rPr>
        <w:t xml:space="preserve">                   </w:t>
      </w:r>
    </w:p>
    <w:p w14:paraId="0456D330">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统一社会信用代码 / 组织机构代码：</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 xml:space="preserve">              </w:t>
      </w:r>
    </w:p>
    <w:p w14:paraId="0FDC6C0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b/>
          <w:bCs/>
          <w:kern w:val="2"/>
          <w:sz w:val="32"/>
          <w:szCs w:val="32"/>
          <w:highlight w:val="none"/>
          <w:u w:val="single"/>
          <w:lang w:val="en-US" w:eastAsia="zh-CN" w:bidi="ar-SA"/>
        </w:rPr>
      </w:pPr>
      <w:r>
        <w:rPr>
          <w:rFonts w:hint="eastAsia" w:ascii="仿宋_GB2312" w:hAnsi="仿宋_GB2312" w:eastAsia="仿宋_GB2312" w:cs="仿宋_GB2312"/>
          <w:b/>
          <w:bCs/>
          <w:kern w:val="2"/>
          <w:sz w:val="32"/>
          <w:szCs w:val="32"/>
          <w:highlight w:val="none"/>
          <w:lang w:val="en-US" w:eastAsia="zh-CN" w:bidi="ar-SA"/>
        </w:rPr>
        <w:t>联系人：</w:t>
      </w:r>
      <w:r>
        <w:rPr>
          <w:rFonts w:hint="eastAsia" w:ascii="仿宋_GB2312" w:hAnsi="仿宋_GB2312" w:eastAsia="仿宋_GB2312" w:cs="仿宋_GB2312"/>
          <w:b/>
          <w:bCs/>
          <w:kern w:val="2"/>
          <w:sz w:val="32"/>
          <w:szCs w:val="32"/>
          <w:highlight w:val="none"/>
          <w:u w:val="single"/>
          <w:lang w:val="en-US" w:eastAsia="zh-CN" w:bidi="ar-SA"/>
        </w:rPr>
        <w:t xml:space="preserve">                    </w:t>
      </w:r>
    </w:p>
    <w:p w14:paraId="29B6D392">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b/>
          <w:bCs/>
          <w:kern w:val="2"/>
          <w:sz w:val="32"/>
          <w:szCs w:val="32"/>
          <w:highlight w:val="none"/>
          <w:u w:val="single"/>
          <w:lang w:val="en-US" w:eastAsia="zh-CN" w:bidi="ar-SA"/>
        </w:rPr>
      </w:pPr>
      <w:r>
        <w:rPr>
          <w:rFonts w:hint="eastAsia" w:ascii="仿宋_GB2312" w:hAnsi="仿宋_GB2312" w:eastAsia="仿宋_GB2312" w:cs="仿宋_GB2312"/>
          <w:b/>
          <w:bCs/>
          <w:kern w:val="2"/>
          <w:sz w:val="32"/>
          <w:szCs w:val="32"/>
          <w:highlight w:val="none"/>
          <w:lang w:val="en-US" w:eastAsia="zh-CN" w:bidi="ar-SA"/>
        </w:rPr>
        <w:t>联系电话：</w:t>
      </w:r>
      <w:r>
        <w:rPr>
          <w:rFonts w:hint="eastAsia" w:ascii="仿宋_GB2312" w:hAnsi="仿宋_GB2312" w:eastAsia="仿宋_GB2312" w:cs="仿宋_GB2312"/>
          <w:b/>
          <w:bCs/>
          <w:kern w:val="2"/>
          <w:sz w:val="32"/>
          <w:szCs w:val="32"/>
          <w:highlight w:val="none"/>
          <w:u w:val="single"/>
          <w:lang w:val="en-US" w:eastAsia="zh-CN" w:bidi="ar-SA"/>
        </w:rPr>
        <w:t xml:space="preserve">                  </w:t>
      </w:r>
    </w:p>
    <w:p w14:paraId="749091F5">
      <w:pPr>
        <w:keepNext w:val="0"/>
        <w:keepLines w:val="0"/>
        <w:pageBreakBefore w:val="0"/>
        <w:widowControl w:val="0"/>
        <w:kinsoku/>
        <w:wordWrap/>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经营/施工地址：上海对外经贸大学</w:t>
      </w: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校区</w:t>
      </w:r>
    </w:p>
    <w:p w14:paraId="03A2FFB7">
      <w:pPr>
        <w:keepNext w:val="0"/>
        <w:keepLines w:val="0"/>
        <w:pageBreakBefore w:val="0"/>
        <w:widowControl w:val="0"/>
        <w:kinsoku/>
        <w:wordWrap/>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u w:val="single"/>
          <w:lang w:val="en-US" w:eastAsia="zh-CN" w:bidi="ar-SA"/>
        </w:rPr>
        <w:t xml:space="preserve">           </w:t>
      </w:r>
      <w:r>
        <w:rPr>
          <w:rFonts w:hint="eastAsia" w:ascii="仿宋_GB2312" w:hAnsi="仿宋_GB2312" w:eastAsia="仿宋_GB2312" w:cs="仿宋_GB2312"/>
          <w:b/>
          <w:bCs/>
          <w:kern w:val="2"/>
          <w:sz w:val="32"/>
          <w:szCs w:val="32"/>
          <w:highlight w:val="none"/>
          <w:lang w:val="en-US" w:eastAsia="zh-CN" w:bidi="ar-SA"/>
        </w:rPr>
        <w:t>区域</w:t>
      </w:r>
    </w:p>
    <w:p w14:paraId="4A65CAB8">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为规范乙方在上海对外经贸大学校园内的用水用能行为，明确各方权利与义务，保障学校水资源、能源的合理利用和正常供应，根据《中华人民共和国节约能源法》及《上海对外经贸大学第三方经营单位及纳入学校集中采购范围工程项目施工单位用水用能管理办法》（以下简称《管理办法》），甲、乙双方本着平等自愿、公平诚信的原则，签订</w:t>
      </w:r>
      <w:bookmarkStart w:id="0" w:name="_GoBack"/>
      <w:bookmarkEnd w:id="0"/>
      <w:r>
        <w:rPr>
          <w:rFonts w:hint="eastAsia" w:ascii="仿宋_GB2312" w:hAnsi="仿宋_GB2312" w:eastAsia="仿宋_GB2312" w:cs="仿宋_GB2312"/>
          <w:kern w:val="2"/>
          <w:sz w:val="32"/>
          <w:szCs w:val="32"/>
          <w:highlight w:val="none"/>
          <w:lang w:val="en-US" w:eastAsia="zh-CN" w:bidi="ar-SA"/>
        </w:rPr>
        <w:t>本责任书。</w:t>
      </w:r>
    </w:p>
    <w:p w14:paraId="47DE7532">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一、用水用能范围与设施要求</w:t>
      </w:r>
    </w:p>
    <w:p w14:paraId="76D40A5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b w:val="0"/>
          <w:bCs w:val="0"/>
          <w:kern w:val="2"/>
          <w:sz w:val="32"/>
          <w:szCs w:val="32"/>
          <w:highlight w:val="none"/>
          <w:lang w:val="en-US" w:eastAsia="zh-CN" w:bidi="ar-SA"/>
        </w:rPr>
      </w:pPr>
      <w:r>
        <w:rPr>
          <w:rFonts w:hint="eastAsia" w:ascii="楷体" w:hAnsi="楷体" w:eastAsia="楷体" w:cs="楷体"/>
          <w:b w:val="0"/>
          <w:bCs w:val="0"/>
          <w:kern w:val="2"/>
          <w:sz w:val="32"/>
          <w:szCs w:val="32"/>
          <w:highlight w:val="none"/>
          <w:lang w:val="en-US" w:eastAsia="zh-CN" w:bidi="ar-SA"/>
        </w:rPr>
        <w:t>1.用水用能范围</w:t>
      </w:r>
    </w:p>
    <w:p w14:paraId="27DC503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乙方仅可在本责任书约定的经营/施工地址（即上海对外经贸大学</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校区</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区域）内使用学校水网、电网、天然气及其他能源系统供应的水资源（含自来水、中水、地下水等，具体以实际供应类型为准）和能源（含电、天然气等，具体以实际供应类型为准），不得擅自扩大使用范围。</w:t>
      </w:r>
    </w:p>
    <w:p w14:paraId="4CCA50E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2.设施建设与安装</w:t>
      </w:r>
    </w:p>
    <w:p w14:paraId="333289EC">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乙方新增用水用能点位，须填写《上海对外经贸大学用水用能申请表》，经甲方确认后交至能源管理办公室（以下简称能源办）办理计量表具安装手续，经能源办批准后，乙方按批准表具品牌、型号完成计量表具安装后，方可开展后续工作。</w:t>
      </w:r>
    </w:p>
    <w:p w14:paraId="440DF469">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乙方须按照能源办指定的品牌、型号安装智能计量表具，确因现场条件不足无法安装智能表具或临时用水用能的，经甲方与能源办共同确认后可安装传统计量表具。表具安装须分类到户，安装位置便于检查、更换与抄表。用水区域须加装阀门，方便检修。</w:t>
      </w:r>
    </w:p>
    <w:p w14:paraId="37E30405">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（3）学校物业协助提供供水供电接入点，乙方自行负责用水用电设施的线路敷设、配电柜安装与建设，并确保设施符合国家及学校安全标准，禁止使用国家明令淘汰的落后用水用能设施设备。</w:t>
      </w:r>
    </w:p>
    <w:p w14:paraId="5617ABA7">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（4）若乙方为纳入学校集中采购范围的工程项目施工单位，须在开工前安装施工用水用电独立计量表具，经甲方与能源办共同确认后方可开工，</w:t>
      </w:r>
      <w:r>
        <w:rPr>
          <w:rFonts w:hint="eastAsia" w:ascii="仿宋_GB2312" w:eastAsia="仿宋_GB2312"/>
          <w:sz w:val="32"/>
          <w:szCs w:val="32"/>
          <w:highlight w:val="none"/>
          <w:lang w:val="en-US" w:eastAsia="zh-CN"/>
        </w:rPr>
        <w:t>对于无法独立开展水电计量的工程项目，经甲方确认无法加装计量表具的，甲方</w:t>
      </w:r>
      <w:r>
        <w:rPr>
          <w:rFonts w:hint="eastAsia" w:ascii="仿宋_GB2312" w:hAnsi="仿宋" w:eastAsia="仿宋_GB2312"/>
          <w:sz w:val="32"/>
          <w:szCs w:val="32"/>
          <w:highlight w:val="none"/>
          <w:lang w:val="en-US" w:eastAsia="zh-CN"/>
        </w:rPr>
        <w:t xml:space="preserve">按照合同约定的水电费缴纳比例计取水电费，并在乙方结清水电费之后，方可支付项目尾款。 </w:t>
      </w:r>
    </w:p>
    <w:p w14:paraId="1957D07B">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二、计量与抄表管理</w:t>
      </w:r>
    </w:p>
    <w:p w14:paraId="23E3452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1.智能表具管理</w:t>
      </w:r>
    </w:p>
    <w:p w14:paraId="22B00155">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能源办依托智慧能源系统进行远程抄表计量及收费工作，乙方可通过系统实时查询用水用能数据。</w:t>
      </w:r>
    </w:p>
    <w:p w14:paraId="673890AD">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2.传统表具管理</w:t>
      </w:r>
    </w:p>
    <w:p w14:paraId="04EB97AC">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能源办委托学校物业工作人员按期上门抄表，乙方须积极配合，对抄表数据现场确认并签字；若乙方无正当理由拒绝配合抄表，能源办有权依据上一次抄表数据及乙方用水用能规律，估算当期用量，乙方须按估算量缴纳费用，后续抄表确认实际用量后，多退少补（差额部分在下次缴费时抵扣或补缴）。</w:t>
      </w:r>
    </w:p>
    <w:p w14:paraId="2909CCFE">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3.表具维护与异常处理</w:t>
      </w:r>
    </w:p>
    <w:p w14:paraId="4C7E9E4C">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须妥善保护计量表具及相关能源设施，不得擅自改装、迁移、拆除。若发现表具遗失、损坏、计量不准或失效等情况，乙方须立即向能源办上报；经能源办记录核实后，乙方可根据能源办要求完成表具的检修或更换，检修期间若无法准确计量，按乙方前三个周期平均用量或上年同期用量（如有）核算当期费用（视具体情况由甲、乙双方协商确定，并将协商结果报能源办）。因乙方故意损坏表具导致计量异常，按《管理办法》相关规定处理。</w:t>
      </w:r>
    </w:p>
    <w:p w14:paraId="0712EE40">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三、费用缴纳</w:t>
      </w:r>
    </w:p>
    <w:p w14:paraId="4201983F">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1.缴费方式与周期</w:t>
      </w:r>
    </w:p>
    <w:p w14:paraId="4391FAEF">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经甲、乙双方协商，确定乙方采用（□预付费 □后付费）方式缴纳用水用能费用。</w:t>
      </w:r>
    </w:p>
    <w:p w14:paraId="3DBC0FF4">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预付费：乙方通过学校智慧能源系统，以微信支付方式实时充值水电气费用；系统余额临近不足时，系统将发送预警通知，余额为零时自动断电，乙方须及时充值恢复使用。</w:t>
      </w:r>
    </w:p>
    <w:p w14:paraId="0A85068F">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后付费：缴费周期为[□每月 □每季度□每年□一次性缴清(仅限工程)]，乙方须在周期结束后次月 15 日前，根据智慧能源系统显示的周期内欠费数据或能源办提供的缴费通知单(仅限人工抄表用户)，足额缴纳当期费用。</w:t>
      </w:r>
    </w:p>
    <w:p w14:paraId="621CB180">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b w:val="0"/>
          <w:bCs w:val="0"/>
          <w:kern w:val="2"/>
          <w:sz w:val="32"/>
          <w:szCs w:val="32"/>
          <w:highlight w:val="none"/>
          <w:lang w:val="en-US" w:eastAsia="zh-CN" w:bidi="ar-SA"/>
        </w:rPr>
      </w:pPr>
      <w:r>
        <w:rPr>
          <w:rFonts w:hint="eastAsia" w:ascii="楷体" w:hAnsi="楷体" w:eastAsia="楷体" w:cs="楷体"/>
          <w:b w:val="0"/>
          <w:bCs w:val="0"/>
          <w:kern w:val="2"/>
          <w:sz w:val="32"/>
          <w:szCs w:val="32"/>
          <w:highlight w:val="none"/>
          <w:lang w:val="en-US" w:eastAsia="zh-CN" w:bidi="ar-SA"/>
        </w:rPr>
        <w:t>缴费账户信息：</w:t>
      </w:r>
    </w:p>
    <w:p w14:paraId="0A96567B">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开户银行：中国工商银行上海市松江支行</w:t>
      </w:r>
    </w:p>
    <w:p w14:paraId="5F5DC2C3">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账户名称：上海对外经贸大学</w:t>
      </w:r>
    </w:p>
    <w:p w14:paraId="671753B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账号：1001739619300009848</w:t>
      </w:r>
    </w:p>
    <w:p w14:paraId="4C8820F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2.费用标准</w:t>
      </w:r>
    </w:p>
    <w:p w14:paraId="12CCF23D">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水用能费用标准根据甲乙双方合同约定的用水用能单价执行，如合同约定按照上海物价部门核定的高校用水用能单价执行的，若遇价格调整，能源办将于收到相关部门（单位）价格调整通知当月书面通知乙方，新价格自通知中约定日期起执行。</w:t>
      </w:r>
    </w:p>
    <w:p w14:paraId="3207800B">
      <w:pPr>
        <w:keepNext w:val="0"/>
        <w:keepLines w:val="0"/>
        <w:pageBreakBefore w:val="0"/>
        <w:widowControl w:val="0"/>
        <w:kinsoku/>
        <w:wordWrap/>
        <w:topLinePunct w:val="0"/>
        <w:autoSpaceDE/>
        <w:autoSpaceDN/>
        <w:bidi w:val="0"/>
        <w:adjustRightInd/>
        <w:snapToGrid/>
        <w:spacing w:line="560" w:lineRule="exact"/>
        <w:ind w:left="1280" w:leftChars="0" w:hanging="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合同约定用水用能单价：</w:t>
      </w:r>
    </w:p>
    <w:p w14:paraId="05164407">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□按照上海物价部门核定的高校用水用能单价执行；</w:t>
      </w:r>
    </w:p>
    <w:p w14:paraId="1C2662BE">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□用电单价</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元/KW·h；（如有特殊约定，请填写单价金额）</w:t>
      </w:r>
    </w:p>
    <w:p w14:paraId="4AEFBD32">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□用水单价</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元/立方米；（如有特殊约定，请填写单价金额）</w:t>
      </w:r>
    </w:p>
    <w:p w14:paraId="33CC2952">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□用天然气单价</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元/立方米；（如有特殊约定，请填写单价金额）</w:t>
      </w:r>
    </w:p>
    <w:p w14:paraId="53C6BB3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□其他（请说明：</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w:t>
      </w:r>
    </w:p>
    <w:p w14:paraId="1E02041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3.保证金与滞纳金选择（仅适用于后付费，以下情形建议二选一）</w:t>
      </w:r>
    </w:p>
    <w:p w14:paraId="35E6F30E">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□乙方选择后付费方式的，须在本责任书签订当日，向甲方缴纳</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元（不少于三个月水电费金额）作为水电保证金。甲乙双方合同终止后，若乙方无欠费、无设施损坏等情形，甲方在</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个工作日内全额退还保证金（不计利息）；若乙方存在欠费或需承担赔偿责任，甲方可从保证金中抵扣，不足部分有权向乙方追偿。</w:t>
      </w:r>
    </w:p>
    <w:p w14:paraId="66A48CC9">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□乙方未按约定时间缴纳费用的，每逾期一日，须按欠费金额的</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‰（不超过日万分之五）支付滞纳金；逾期超过</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日的，甲方有权向能源办提交书面申请，由能源办采取断电措施，直至乙方缴清所有费用及滞纳金。</w:t>
      </w:r>
    </w:p>
    <w:p w14:paraId="14FB0228">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四、票据开具</w:t>
      </w:r>
    </w:p>
    <w:p w14:paraId="6E5AAF2A">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1.乙方按期完成用水用能费用缴费后，需向能源办提供银行转账凭证（预付费用户无需提供）及开票信息，经能源办确认后向上海对外经贸大学财务处申请开具票据。</w:t>
      </w:r>
    </w:p>
    <w:p w14:paraId="4880034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如乙方需提前开具票据后方可完成缴费，经甲方同意后，由甲方向上海对外经贸大学财务处提交预开票申请，开票后，由甲方负责监督乙方及时缴纳已开票金额，并在乙方缴纳成功后及时告知能源办完成系统欠费销账。</w:t>
      </w:r>
    </w:p>
    <w:p w14:paraId="71A8D99E">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五、日常管理</w:t>
      </w:r>
    </w:p>
    <w:p w14:paraId="43FC8D2C">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1.服从统一调度</w:t>
      </w:r>
    </w:p>
    <w:p w14:paraId="2A47A9C0">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乙方须遵守学校能源运行统一调度要求，因学校检修、改造或应急处置等需要暂停供水供能的，乙方须配合做好相关准备工作。</w:t>
      </w:r>
    </w:p>
    <w:p w14:paraId="321D5C86">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2.设施维护与安全</w:t>
      </w:r>
    </w:p>
    <w:p w14:paraId="7D45D147">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负责其管辖范围内供水、供能设备的日常维护保养，建立设备维护台账，定期检查设施安全，防止跑、冒、滴、漏等浪费现象及安全事故发生；若因乙方维护不当导致设施故障，造成学校或第三方损失的，由乙方承担全部赔偿责任。</w:t>
      </w:r>
    </w:p>
    <w:p w14:paraId="5C09C9E4">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3.供水供能装置管理要求</w:t>
      </w:r>
    </w:p>
    <w:p w14:paraId="08C07797">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不得擅自转供水电等能源给第三方或与第三方共用；不得在装饰、装修过程中妨碍表具抄表、维护与更换；乙方不得私自添加大功率用电设备（超过现有负荷10%），如确实因业务需要增加用电设备，需提交相关设备增容申请，在得到能源办同意后方可实施，如涉及供电线路无法满足增容负荷，相关供电线路改造费用由乙方负责落实，线路新增表具参照新增用水用能申请相关要求执行，工程项目临时用水用能结束后，乙方须付清全部费用，并拆除临时供水、供电装置，经甲方和能源办共同验收合格后方可办理后续手续。</w:t>
      </w:r>
    </w:p>
    <w:p w14:paraId="6728846F">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4.制度建设</w:t>
      </w:r>
    </w:p>
    <w:p w14:paraId="51A9DD07">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乙方须根据《管理办法》及本责任书约定，制定本单位节约用水用能规章制度，明确专人负责用水用能管理。</w:t>
      </w:r>
    </w:p>
    <w:p w14:paraId="7B5F907E">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六、违规处理</w:t>
      </w:r>
    </w:p>
    <w:p w14:paraId="260CF20E">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若乙方存在《管理办法》第十七条所列窃水窃能行（包括但不限于擅自接管拉线、绕越计量装置、损坏计量表具等），甲方有权责令乙方立即整改，并依据恢复正常计量后一年中用水、用能量最高月份数据，一次性补缴一年全部费用。</w:t>
      </w:r>
    </w:p>
    <w:p w14:paraId="2072CCF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因乙方违章用水用能导致停水停电，影响学校正常教学、科研或其他用户用水用能的，乙方须承担由此造成的全部损失（包括但不限于设施维修费用、第三方索赔费用等），甲方有权依据相关合同约定追究乙方违约责任。</w:t>
      </w:r>
    </w:p>
    <w:p w14:paraId="009A0450">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七、责任书期限</w:t>
      </w:r>
    </w:p>
    <w:p w14:paraId="1631DC44">
      <w:pPr>
        <w:keepNext w:val="0"/>
        <w:keepLines w:val="0"/>
        <w:pageBreakBefore w:val="0"/>
        <w:widowControl w:val="0"/>
        <w:kinsoku/>
        <w:wordWrap/>
        <w:topLinePunct w:val="0"/>
        <w:autoSpaceDE/>
        <w:autoSpaceDN/>
        <w:bidi w:val="0"/>
        <w:adjustRightInd/>
        <w:snapToGrid/>
        <w:spacing w:line="560" w:lineRule="exact"/>
        <w:ind w:left="1280" w:leftChars="0" w:hanging="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1.本责任书期限自签署之日起生效。</w:t>
      </w:r>
    </w:p>
    <w:p w14:paraId="00BC0D1B">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2.若甲乙双方中一方需终止合同，合同终止前，乙方须缴清所有用水用能费用，完成设施清理与交接，经甲方与能源办共同验收合格后，方可办理离场手续，本责任书随甲乙双方主合同终止一并终止。</w:t>
      </w:r>
    </w:p>
    <w:p w14:paraId="54B18BEF">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3.乙方出现下列情形之一的，已缴纳的保证金不予退还（若有），乙方还须承担违约责任：</w:t>
      </w:r>
    </w:p>
    <w:p w14:paraId="1434F749">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（1）累计三次及以上未按约定缴纳费用，经催告后仍不补缴的；</w:t>
      </w:r>
    </w:p>
    <w:p w14:paraId="5D3F1DFD">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（2）存在窃水窃能行为，整改后再次违规的；</w:t>
      </w:r>
    </w:p>
    <w:p w14:paraId="23F4115B">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（3）因乙方原因造成重大安全事故或严重影响学校正常秩序的。</w:t>
      </w:r>
    </w:p>
    <w:p w14:paraId="6FE2A6FA">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八、其他</w:t>
      </w:r>
    </w:p>
    <w:p w14:paraId="7ABF78CC">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1.《管理办法》为本责任书组成部分，与本责任书具有同等法律效力；若《管理办法》修订，本责任书相关条款自动按修订后内容执行。</w:t>
      </w:r>
    </w:p>
    <w:p w14:paraId="4912677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2.本责任书一式三份，甲方、乙方各执一份，一份交至能源办备案，自甲乙双方签署之日起生效，如责任人职务变动，由接任者担任责任书所列相关事项。</w:t>
      </w:r>
    </w:p>
    <w:p w14:paraId="5A190BC4">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p>
    <w:p w14:paraId="7E7FDC68">
      <w:pPr>
        <w:keepNext w:val="0"/>
        <w:keepLines w:val="0"/>
        <w:pageBreakBefore w:val="0"/>
        <w:widowControl w:val="0"/>
        <w:kinsoku/>
        <w:wordWrap/>
        <w:topLinePunct w:val="0"/>
        <w:autoSpaceDE/>
        <w:autoSpaceDN/>
        <w:bidi w:val="0"/>
        <w:adjustRightInd/>
        <w:snapToGrid/>
        <w:spacing w:line="560" w:lineRule="exact"/>
        <w:ind w:leftChars="1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甲方（盖章）：                乙方（盖章）：</w:t>
      </w:r>
    </w:p>
    <w:p w14:paraId="55846D11">
      <w:pPr>
        <w:keepNext w:val="0"/>
        <w:keepLines w:val="0"/>
        <w:pageBreakBefore w:val="0"/>
        <w:widowControl w:val="0"/>
        <w:kinsoku/>
        <w:wordWrap/>
        <w:topLinePunct w:val="0"/>
        <w:autoSpaceDE/>
        <w:autoSpaceDN/>
        <w:bidi w:val="0"/>
        <w:adjustRightInd/>
        <w:snapToGrid/>
        <w:spacing w:line="560" w:lineRule="exact"/>
        <w:ind w:leftChars="1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负责人（签字）：              负责人（签字）：</w:t>
      </w:r>
    </w:p>
    <w:p w14:paraId="3B740499">
      <w:pPr>
        <w:keepNext w:val="0"/>
        <w:keepLines w:val="0"/>
        <w:pageBreakBefore w:val="0"/>
        <w:widowControl w:val="0"/>
        <w:kinsoku/>
        <w:wordWrap/>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highlight w:val="none"/>
          <w:lang w:val="en-US" w:eastAsia="zh-CN" w:bidi="ar-SA"/>
        </w:rPr>
      </w:pPr>
    </w:p>
    <w:p w14:paraId="7D35FD9C">
      <w:pPr>
        <w:keepNext w:val="0"/>
        <w:keepLines w:val="0"/>
        <w:pageBreakBefore w:val="0"/>
        <w:widowControl w:val="0"/>
        <w:kinsoku/>
        <w:wordWrap/>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签订日期：   年  月  日       签订日期：   年  月  日</w:t>
      </w:r>
    </w:p>
    <w:p w14:paraId="4AD8DD90">
      <w:pPr>
        <w:keepNext w:val="0"/>
        <w:keepLines w:val="0"/>
        <w:pageBreakBefore w:val="0"/>
        <w:widowControl w:val="0"/>
        <w:kinsoku/>
        <w:wordWrap/>
        <w:overflowPunct w:val="0"/>
        <w:topLinePunct w:val="0"/>
        <w:autoSpaceDE/>
        <w:autoSpaceDN/>
        <w:bidi w:val="0"/>
        <w:adjustRightInd/>
        <w:snapToGrid/>
        <w:spacing w:line="560" w:lineRule="exact"/>
        <w:ind w:right="320"/>
        <w:jc w:val="left"/>
        <w:textAlignment w:val="auto"/>
        <w:rPr>
          <w:rFonts w:ascii="微软雅黑" w:hAnsi="微软雅黑" w:eastAsia="微软雅黑"/>
          <w:sz w:val="24"/>
          <w:szCs w:val="13"/>
          <w:highlight w:val="none"/>
        </w:rPr>
      </w:pPr>
    </w:p>
    <w:p w14:paraId="71A143F5">
      <w:pPr>
        <w:bidi w:val="0"/>
        <w:rPr>
          <w:rFonts w:ascii="Times New Roman" w:hAnsi="Times New Roman" w:eastAsia="宋体" w:cs="Times New Roman"/>
          <w:kern w:val="2"/>
          <w:sz w:val="21"/>
          <w:lang w:val="en-US" w:eastAsia="zh-CN" w:bidi="ar-SA"/>
        </w:rPr>
      </w:pPr>
    </w:p>
    <w:p w14:paraId="32F89D69">
      <w:pPr>
        <w:bidi w:val="0"/>
        <w:rPr>
          <w:lang w:val="en-US" w:eastAsia="zh-CN"/>
        </w:rPr>
      </w:pPr>
    </w:p>
    <w:p w14:paraId="471EDC11">
      <w:pPr>
        <w:bidi w:val="0"/>
        <w:rPr>
          <w:lang w:val="en-US" w:eastAsia="zh-CN"/>
        </w:rPr>
      </w:pPr>
    </w:p>
    <w:p w14:paraId="77A50E94">
      <w:pPr>
        <w:bidi w:val="0"/>
        <w:rPr>
          <w:lang w:val="en-US" w:eastAsia="zh-CN"/>
        </w:rPr>
      </w:pPr>
    </w:p>
    <w:p w14:paraId="68DCB5EA">
      <w:pPr>
        <w:bidi w:val="0"/>
        <w:rPr>
          <w:lang w:val="en-US" w:eastAsia="zh-CN"/>
        </w:rPr>
      </w:pPr>
    </w:p>
    <w:p w14:paraId="5BFB797D">
      <w:pPr>
        <w:bidi w:val="0"/>
        <w:rPr>
          <w:lang w:val="en-US" w:eastAsia="zh-CN"/>
        </w:rPr>
      </w:pPr>
    </w:p>
    <w:p w14:paraId="2210248E">
      <w:pPr>
        <w:bidi w:val="0"/>
        <w:rPr>
          <w:lang w:val="en-US" w:eastAsia="zh-CN"/>
        </w:rPr>
      </w:pPr>
    </w:p>
    <w:p w14:paraId="35546B7C">
      <w:pPr>
        <w:bidi w:val="0"/>
        <w:rPr>
          <w:lang w:val="en-US" w:eastAsia="zh-CN"/>
        </w:rPr>
      </w:pPr>
    </w:p>
    <w:p w14:paraId="3B7CA4DD">
      <w:pPr>
        <w:bidi w:val="0"/>
        <w:rPr>
          <w:lang w:val="en-US" w:eastAsia="zh-CN"/>
        </w:rPr>
      </w:pPr>
    </w:p>
    <w:p w14:paraId="69CD810D">
      <w:pPr>
        <w:bidi w:val="0"/>
        <w:rPr>
          <w:lang w:val="en-US" w:eastAsia="zh-CN"/>
        </w:rPr>
      </w:pPr>
    </w:p>
    <w:p w14:paraId="4DF263C9">
      <w:pPr>
        <w:bidi w:val="0"/>
        <w:rPr>
          <w:lang w:val="en-US" w:eastAsia="zh-CN"/>
        </w:rPr>
      </w:pPr>
    </w:p>
    <w:p w14:paraId="204790DE">
      <w:pPr>
        <w:bidi w:val="0"/>
        <w:rPr>
          <w:lang w:val="en-US" w:eastAsia="zh-CN"/>
        </w:rPr>
      </w:pPr>
    </w:p>
    <w:p w14:paraId="547AB08D">
      <w:pPr>
        <w:bidi w:val="0"/>
        <w:rPr>
          <w:lang w:val="en-US" w:eastAsia="zh-CN"/>
        </w:rPr>
      </w:pPr>
    </w:p>
    <w:p w14:paraId="1BA53C13">
      <w:pPr>
        <w:bidi w:val="0"/>
        <w:rPr>
          <w:lang w:val="en-US" w:eastAsia="zh-CN"/>
        </w:rPr>
      </w:pPr>
    </w:p>
    <w:p w14:paraId="381D4317">
      <w:pPr>
        <w:bidi w:val="0"/>
        <w:rPr>
          <w:lang w:val="en-US" w:eastAsia="zh-CN"/>
        </w:rPr>
      </w:pPr>
    </w:p>
    <w:p w14:paraId="1A3DB7C2">
      <w:pPr>
        <w:bidi w:val="0"/>
        <w:rPr>
          <w:lang w:val="en-US" w:eastAsia="zh-CN"/>
        </w:rPr>
      </w:pPr>
    </w:p>
    <w:p w14:paraId="6E0E61AB">
      <w:pPr>
        <w:bidi w:val="0"/>
        <w:rPr>
          <w:lang w:val="en-US" w:eastAsia="zh-CN"/>
        </w:rPr>
      </w:pPr>
    </w:p>
    <w:p w14:paraId="41CD3232">
      <w:pPr>
        <w:bidi w:val="0"/>
        <w:rPr>
          <w:lang w:val="en-US" w:eastAsia="zh-CN"/>
        </w:rPr>
      </w:pPr>
    </w:p>
    <w:p w14:paraId="4C9E2DB7">
      <w:pPr>
        <w:bidi w:val="0"/>
        <w:rPr>
          <w:lang w:val="en-US" w:eastAsia="zh-CN"/>
        </w:rPr>
      </w:pPr>
    </w:p>
    <w:p w14:paraId="3208E3A8">
      <w:pPr>
        <w:bidi w:val="0"/>
        <w:rPr>
          <w:lang w:val="en-US" w:eastAsia="zh-CN"/>
        </w:rPr>
      </w:pPr>
    </w:p>
    <w:p w14:paraId="3DDB8C60">
      <w:pPr>
        <w:tabs>
          <w:tab w:val="left" w:pos="741"/>
        </w:tabs>
        <w:bidi w:val="0"/>
        <w:jc w:val="left"/>
        <w:rPr>
          <w:rFonts w:hint="eastAsia"/>
          <w:lang w:val="en-US" w:eastAsia="zh-CN"/>
        </w:rPr>
      </w:pPr>
      <w:r>
        <w:rPr>
          <w:rFonts w:hint="eastAsia"/>
          <w:lang w:val="en-US" w:eastAsia="zh-CN"/>
        </w:rPr>
        <w:tab/>
      </w:r>
    </w:p>
    <w:p w14:paraId="64255CBF">
      <w:pPr>
        <w:tabs>
          <w:tab w:val="left" w:pos="741"/>
        </w:tabs>
        <w:bidi w:val="0"/>
        <w:jc w:val="left"/>
        <w:rPr>
          <w:rFonts w:hint="eastAsia"/>
          <w:lang w:val="en-US" w:eastAsia="zh-CN"/>
        </w:rPr>
      </w:pPr>
    </w:p>
    <w:p w14:paraId="1AFCE688">
      <w:pPr>
        <w:tabs>
          <w:tab w:val="left" w:pos="741"/>
        </w:tabs>
        <w:bidi w:val="0"/>
        <w:jc w:val="left"/>
        <w:rPr>
          <w:rFonts w:hint="eastAsia"/>
          <w:lang w:val="en-US" w:eastAsia="zh-CN"/>
        </w:rPr>
      </w:pPr>
    </w:p>
    <w:p w14:paraId="2B9430A1">
      <w:pPr>
        <w:tabs>
          <w:tab w:val="left" w:pos="741"/>
        </w:tabs>
        <w:bidi w:val="0"/>
        <w:jc w:val="left"/>
        <w:rPr>
          <w:rFonts w:hint="eastAsia"/>
          <w:lang w:val="en-US" w:eastAsia="zh-CN"/>
        </w:rPr>
      </w:pPr>
    </w:p>
    <w:p w14:paraId="7E709B3F">
      <w:pPr>
        <w:tabs>
          <w:tab w:val="left" w:pos="741"/>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4727D9-6470-49CB-AF24-119E95E650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2" w:fontKey="{B0826129-E091-40B9-BDDF-3367886CD6AF}"/>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3" w:fontKey="{CDF5CC7F-436D-4C9F-842D-D14FAB2328FF}"/>
  </w:font>
  <w:font w:name="方正小标宋简体">
    <w:panose1 w:val="03000509000000000000"/>
    <w:charset w:val="86"/>
    <w:family w:val="script"/>
    <w:pitch w:val="default"/>
    <w:sig w:usb0="00000001" w:usb1="080E0000" w:usb2="00000000" w:usb3="00000000" w:csb0="00040000" w:csb1="00000000"/>
    <w:embedRegular r:id="rId4" w:fontKey="{AA90A651-926A-43DE-BFE0-CBBDE97A6365}"/>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5" w:fontKey="{19347FB2-1885-4348-8F4C-EACEC9B1D40D}"/>
  </w:font>
  <w:font w:name="仿宋">
    <w:panose1 w:val="02010609060101010101"/>
    <w:charset w:val="86"/>
    <w:family w:val="modern"/>
    <w:pitch w:val="default"/>
    <w:sig w:usb0="800002BF" w:usb1="38CF7CFA" w:usb2="00000016" w:usb3="00000000" w:csb0="00040001" w:csb1="00000000"/>
    <w:embedRegular r:id="rId6" w:fontKey="{8BDE7687-DC53-42EA-9A15-B8A297F126A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zODkxNGMyODcyYzM1OTY4MmUzN2U1YTI0MDI2NDEifQ=="/>
  </w:docVars>
  <w:rsids>
    <w:rsidRoot w:val="00383F1E"/>
    <w:rsid w:val="00016949"/>
    <w:rsid w:val="0002443B"/>
    <w:rsid w:val="000254C2"/>
    <w:rsid w:val="00052429"/>
    <w:rsid w:val="00054691"/>
    <w:rsid w:val="00062C61"/>
    <w:rsid w:val="00076E4C"/>
    <w:rsid w:val="00095169"/>
    <w:rsid w:val="000A170B"/>
    <w:rsid w:val="000E7127"/>
    <w:rsid w:val="001038CE"/>
    <w:rsid w:val="00161F25"/>
    <w:rsid w:val="001665DA"/>
    <w:rsid w:val="001A6742"/>
    <w:rsid w:val="001B544D"/>
    <w:rsid w:val="001D6B86"/>
    <w:rsid w:val="001D7F37"/>
    <w:rsid w:val="001E143C"/>
    <w:rsid w:val="001F6348"/>
    <w:rsid w:val="002212BC"/>
    <w:rsid w:val="00221D3B"/>
    <w:rsid w:val="00231BE3"/>
    <w:rsid w:val="002362B9"/>
    <w:rsid w:val="00237516"/>
    <w:rsid w:val="002427F8"/>
    <w:rsid w:val="002503A5"/>
    <w:rsid w:val="00251582"/>
    <w:rsid w:val="002A3865"/>
    <w:rsid w:val="002B755F"/>
    <w:rsid w:val="002D2FD1"/>
    <w:rsid w:val="002E2393"/>
    <w:rsid w:val="002F1AD5"/>
    <w:rsid w:val="00305220"/>
    <w:rsid w:val="00311F35"/>
    <w:rsid w:val="003312E6"/>
    <w:rsid w:val="00332E85"/>
    <w:rsid w:val="00337420"/>
    <w:rsid w:val="0034169D"/>
    <w:rsid w:val="0034305B"/>
    <w:rsid w:val="00357C21"/>
    <w:rsid w:val="0037333F"/>
    <w:rsid w:val="00383F1E"/>
    <w:rsid w:val="003A4AA7"/>
    <w:rsid w:val="003A6482"/>
    <w:rsid w:val="003C1642"/>
    <w:rsid w:val="003D5EC4"/>
    <w:rsid w:val="003D7AF3"/>
    <w:rsid w:val="003E052E"/>
    <w:rsid w:val="003E24AA"/>
    <w:rsid w:val="003E6B35"/>
    <w:rsid w:val="003F2EC2"/>
    <w:rsid w:val="00414D78"/>
    <w:rsid w:val="00415B87"/>
    <w:rsid w:val="00426D51"/>
    <w:rsid w:val="00442CD1"/>
    <w:rsid w:val="0049107F"/>
    <w:rsid w:val="004A68FB"/>
    <w:rsid w:val="004B27F9"/>
    <w:rsid w:val="004B7095"/>
    <w:rsid w:val="004C402A"/>
    <w:rsid w:val="004D656F"/>
    <w:rsid w:val="004E3D52"/>
    <w:rsid w:val="004E5BB2"/>
    <w:rsid w:val="00550E8F"/>
    <w:rsid w:val="0055552C"/>
    <w:rsid w:val="00582595"/>
    <w:rsid w:val="005A3E6D"/>
    <w:rsid w:val="005C46A0"/>
    <w:rsid w:val="00622070"/>
    <w:rsid w:val="006351B4"/>
    <w:rsid w:val="006451CC"/>
    <w:rsid w:val="0065150B"/>
    <w:rsid w:val="00656995"/>
    <w:rsid w:val="006764A9"/>
    <w:rsid w:val="00676FB4"/>
    <w:rsid w:val="006973B1"/>
    <w:rsid w:val="006B3B63"/>
    <w:rsid w:val="006D6524"/>
    <w:rsid w:val="006E0307"/>
    <w:rsid w:val="007152F8"/>
    <w:rsid w:val="00725B57"/>
    <w:rsid w:val="007840D0"/>
    <w:rsid w:val="007A1A9F"/>
    <w:rsid w:val="007B1671"/>
    <w:rsid w:val="007C2F4F"/>
    <w:rsid w:val="007C45A7"/>
    <w:rsid w:val="00801FE0"/>
    <w:rsid w:val="008174F3"/>
    <w:rsid w:val="00817B67"/>
    <w:rsid w:val="00855165"/>
    <w:rsid w:val="00861EE9"/>
    <w:rsid w:val="00871BB2"/>
    <w:rsid w:val="00873F9C"/>
    <w:rsid w:val="00880A50"/>
    <w:rsid w:val="0088401D"/>
    <w:rsid w:val="00887CF2"/>
    <w:rsid w:val="008A3C02"/>
    <w:rsid w:val="008D6C59"/>
    <w:rsid w:val="008E2D84"/>
    <w:rsid w:val="008F0006"/>
    <w:rsid w:val="008F3973"/>
    <w:rsid w:val="00922A33"/>
    <w:rsid w:val="00935D3D"/>
    <w:rsid w:val="00935FE7"/>
    <w:rsid w:val="00940CDB"/>
    <w:rsid w:val="0096785A"/>
    <w:rsid w:val="009B08A3"/>
    <w:rsid w:val="009D4638"/>
    <w:rsid w:val="009D6851"/>
    <w:rsid w:val="00A12144"/>
    <w:rsid w:val="00A13787"/>
    <w:rsid w:val="00A3657D"/>
    <w:rsid w:val="00A50D23"/>
    <w:rsid w:val="00A56D12"/>
    <w:rsid w:val="00A620B2"/>
    <w:rsid w:val="00A66E68"/>
    <w:rsid w:val="00A71496"/>
    <w:rsid w:val="00A7605E"/>
    <w:rsid w:val="00A80659"/>
    <w:rsid w:val="00A87256"/>
    <w:rsid w:val="00A879F0"/>
    <w:rsid w:val="00AB67D4"/>
    <w:rsid w:val="00B01A58"/>
    <w:rsid w:val="00B04B02"/>
    <w:rsid w:val="00B50F62"/>
    <w:rsid w:val="00B55801"/>
    <w:rsid w:val="00B824B1"/>
    <w:rsid w:val="00B86957"/>
    <w:rsid w:val="00BA5DAC"/>
    <w:rsid w:val="00BB42D7"/>
    <w:rsid w:val="00BC6C2D"/>
    <w:rsid w:val="00C00B07"/>
    <w:rsid w:val="00C05F68"/>
    <w:rsid w:val="00C10573"/>
    <w:rsid w:val="00C24F86"/>
    <w:rsid w:val="00C317A5"/>
    <w:rsid w:val="00C36FCA"/>
    <w:rsid w:val="00C45A3F"/>
    <w:rsid w:val="00C61A3A"/>
    <w:rsid w:val="00C82375"/>
    <w:rsid w:val="00CA1D0B"/>
    <w:rsid w:val="00CE4D78"/>
    <w:rsid w:val="00D15907"/>
    <w:rsid w:val="00D60DCA"/>
    <w:rsid w:val="00D62731"/>
    <w:rsid w:val="00D645A1"/>
    <w:rsid w:val="00D66717"/>
    <w:rsid w:val="00D67843"/>
    <w:rsid w:val="00D7424D"/>
    <w:rsid w:val="00D932E5"/>
    <w:rsid w:val="00DA51FC"/>
    <w:rsid w:val="00DC4833"/>
    <w:rsid w:val="00DC68BE"/>
    <w:rsid w:val="00DD4AA5"/>
    <w:rsid w:val="00DD6A61"/>
    <w:rsid w:val="00DD7DB2"/>
    <w:rsid w:val="00DE419E"/>
    <w:rsid w:val="00DE6FB0"/>
    <w:rsid w:val="00DF29A7"/>
    <w:rsid w:val="00E134BA"/>
    <w:rsid w:val="00E14535"/>
    <w:rsid w:val="00E37DE1"/>
    <w:rsid w:val="00E62DFC"/>
    <w:rsid w:val="00E72E82"/>
    <w:rsid w:val="00E80A8B"/>
    <w:rsid w:val="00E86086"/>
    <w:rsid w:val="00EA6E85"/>
    <w:rsid w:val="00EE0BDF"/>
    <w:rsid w:val="00EF761B"/>
    <w:rsid w:val="00F03E83"/>
    <w:rsid w:val="00F07994"/>
    <w:rsid w:val="00F162F9"/>
    <w:rsid w:val="00F33787"/>
    <w:rsid w:val="00F51798"/>
    <w:rsid w:val="00F60B85"/>
    <w:rsid w:val="00F67C7E"/>
    <w:rsid w:val="00F75BFA"/>
    <w:rsid w:val="00F76D34"/>
    <w:rsid w:val="00F80E60"/>
    <w:rsid w:val="00F90013"/>
    <w:rsid w:val="00F95F75"/>
    <w:rsid w:val="00F9647E"/>
    <w:rsid w:val="00FC2537"/>
    <w:rsid w:val="00FC769C"/>
    <w:rsid w:val="00FD0FF0"/>
    <w:rsid w:val="00FD252E"/>
    <w:rsid w:val="00FF5144"/>
    <w:rsid w:val="00FF57F6"/>
    <w:rsid w:val="01A21523"/>
    <w:rsid w:val="023B0973"/>
    <w:rsid w:val="024C2B81"/>
    <w:rsid w:val="02AB5AF9"/>
    <w:rsid w:val="03BE185C"/>
    <w:rsid w:val="04BC5D9C"/>
    <w:rsid w:val="067F3525"/>
    <w:rsid w:val="068943A3"/>
    <w:rsid w:val="06BA455D"/>
    <w:rsid w:val="0822685D"/>
    <w:rsid w:val="0888740E"/>
    <w:rsid w:val="0A954C1A"/>
    <w:rsid w:val="0AFC15AA"/>
    <w:rsid w:val="0B35117D"/>
    <w:rsid w:val="0B403CB2"/>
    <w:rsid w:val="0B7078E0"/>
    <w:rsid w:val="0D4115C5"/>
    <w:rsid w:val="0D705975"/>
    <w:rsid w:val="0E591116"/>
    <w:rsid w:val="0EAF24CD"/>
    <w:rsid w:val="0F0E18EA"/>
    <w:rsid w:val="0F765F3A"/>
    <w:rsid w:val="0FE47A65"/>
    <w:rsid w:val="10AF0EAA"/>
    <w:rsid w:val="11C646FD"/>
    <w:rsid w:val="13345697"/>
    <w:rsid w:val="134F24D1"/>
    <w:rsid w:val="14553B17"/>
    <w:rsid w:val="167A127B"/>
    <w:rsid w:val="16900E4D"/>
    <w:rsid w:val="17747294"/>
    <w:rsid w:val="19BB24F9"/>
    <w:rsid w:val="19F908C5"/>
    <w:rsid w:val="1A7616CB"/>
    <w:rsid w:val="1A907657"/>
    <w:rsid w:val="1ACD2659"/>
    <w:rsid w:val="1B6E53E9"/>
    <w:rsid w:val="1BC33A5C"/>
    <w:rsid w:val="1C48428D"/>
    <w:rsid w:val="1C506BA2"/>
    <w:rsid w:val="1CAB69CA"/>
    <w:rsid w:val="1D655089"/>
    <w:rsid w:val="1E911BEF"/>
    <w:rsid w:val="20A35C0A"/>
    <w:rsid w:val="22427507"/>
    <w:rsid w:val="25A77F4A"/>
    <w:rsid w:val="26731922"/>
    <w:rsid w:val="27765E26"/>
    <w:rsid w:val="2B585F6F"/>
    <w:rsid w:val="2EB07088"/>
    <w:rsid w:val="2EF53AD4"/>
    <w:rsid w:val="2FD24756"/>
    <w:rsid w:val="30E40B28"/>
    <w:rsid w:val="3284589B"/>
    <w:rsid w:val="32A25D21"/>
    <w:rsid w:val="32AB107A"/>
    <w:rsid w:val="32D61E6F"/>
    <w:rsid w:val="330F18B1"/>
    <w:rsid w:val="34DA1EC8"/>
    <w:rsid w:val="34E24AFB"/>
    <w:rsid w:val="3612525D"/>
    <w:rsid w:val="372C6501"/>
    <w:rsid w:val="39A9208B"/>
    <w:rsid w:val="3A6164C2"/>
    <w:rsid w:val="3BFD7B35"/>
    <w:rsid w:val="3C860462"/>
    <w:rsid w:val="3E5720B6"/>
    <w:rsid w:val="3ED96F6F"/>
    <w:rsid w:val="3F3423F7"/>
    <w:rsid w:val="400242A3"/>
    <w:rsid w:val="40071E09"/>
    <w:rsid w:val="4008267A"/>
    <w:rsid w:val="40C477AB"/>
    <w:rsid w:val="40E340D5"/>
    <w:rsid w:val="41976DD3"/>
    <w:rsid w:val="432D0A95"/>
    <w:rsid w:val="442C42E7"/>
    <w:rsid w:val="4532494B"/>
    <w:rsid w:val="455E5972"/>
    <w:rsid w:val="458F4D4E"/>
    <w:rsid w:val="470D3C59"/>
    <w:rsid w:val="4723522B"/>
    <w:rsid w:val="47665BDA"/>
    <w:rsid w:val="47B12E0A"/>
    <w:rsid w:val="4A8514AE"/>
    <w:rsid w:val="4BFE0015"/>
    <w:rsid w:val="4CA94424"/>
    <w:rsid w:val="4CCF5029"/>
    <w:rsid w:val="4DB6219A"/>
    <w:rsid w:val="4DC1754C"/>
    <w:rsid w:val="4ECA3EB9"/>
    <w:rsid w:val="4EF94AC3"/>
    <w:rsid w:val="50660FDB"/>
    <w:rsid w:val="51B82A14"/>
    <w:rsid w:val="52974D1F"/>
    <w:rsid w:val="52B92D57"/>
    <w:rsid w:val="530853EE"/>
    <w:rsid w:val="5393482C"/>
    <w:rsid w:val="53A476F3"/>
    <w:rsid w:val="53F02FBD"/>
    <w:rsid w:val="541F2B83"/>
    <w:rsid w:val="544D7C8D"/>
    <w:rsid w:val="546D3F89"/>
    <w:rsid w:val="549C58F4"/>
    <w:rsid w:val="54A057A2"/>
    <w:rsid w:val="550970A1"/>
    <w:rsid w:val="55363DC5"/>
    <w:rsid w:val="55AA1478"/>
    <w:rsid w:val="55D6790C"/>
    <w:rsid w:val="562F0520"/>
    <w:rsid w:val="5637484F"/>
    <w:rsid w:val="567F1D52"/>
    <w:rsid w:val="57560D05"/>
    <w:rsid w:val="57E22340"/>
    <w:rsid w:val="58F06369"/>
    <w:rsid w:val="59396B30"/>
    <w:rsid w:val="5AD20FEA"/>
    <w:rsid w:val="5B2D6220"/>
    <w:rsid w:val="5B536E52"/>
    <w:rsid w:val="5B721E85"/>
    <w:rsid w:val="5BD26DC8"/>
    <w:rsid w:val="5BF92C5F"/>
    <w:rsid w:val="5C1B251D"/>
    <w:rsid w:val="5D4C4156"/>
    <w:rsid w:val="5D656145"/>
    <w:rsid w:val="5E5B095A"/>
    <w:rsid w:val="5ED53330"/>
    <w:rsid w:val="5F2539DE"/>
    <w:rsid w:val="5F555D46"/>
    <w:rsid w:val="6028345A"/>
    <w:rsid w:val="60BA67A8"/>
    <w:rsid w:val="6170126D"/>
    <w:rsid w:val="62781180"/>
    <w:rsid w:val="6291178B"/>
    <w:rsid w:val="637A6CCD"/>
    <w:rsid w:val="64AD0CE2"/>
    <w:rsid w:val="657C32E0"/>
    <w:rsid w:val="65AE7F5E"/>
    <w:rsid w:val="65C9566E"/>
    <w:rsid w:val="66214BD4"/>
    <w:rsid w:val="66B867E0"/>
    <w:rsid w:val="67E33780"/>
    <w:rsid w:val="67F02AB0"/>
    <w:rsid w:val="6D015ADC"/>
    <w:rsid w:val="6E9F4868"/>
    <w:rsid w:val="6F1D2119"/>
    <w:rsid w:val="6F1E3744"/>
    <w:rsid w:val="70085F8A"/>
    <w:rsid w:val="7164006A"/>
    <w:rsid w:val="725B321B"/>
    <w:rsid w:val="73AD5990"/>
    <w:rsid w:val="744F0B5E"/>
    <w:rsid w:val="751C33EC"/>
    <w:rsid w:val="75F419BD"/>
    <w:rsid w:val="76674885"/>
    <w:rsid w:val="768865A9"/>
    <w:rsid w:val="775A7F45"/>
    <w:rsid w:val="794F72FB"/>
    <w:rsid w:val="79594559"/>
    <w:rsid w:val="7ABB6F4D"/>
    <w:rsid w:val="7AC426F9"/>
    <w:rsid w:val="7C4902F7"/>
    <w:rsid w:val="7CAA7279"/>
    <w:rsid w:val="7CAB2FF1"/>
    <w:rsid w:val="7D2D6C22"/>
    <w:rsid w:val="7D450D50"/>
    <w:rsid w:val="7DCE654B"/>
    <w:rsid w:val="7E123173"/>
    <w:rsid w:val="7F0C5FC9"/>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autoRedefine/>
    <w:qFormat/>
    <w:uiPriority w:val="0"/>
    <w:pPr>
      <w:keepNext/>
      <w:keepLines/>
      <w:spacing w:before="120" w:after="120"/>
      <w:ind w:firstLine="200" w:firstLineChars="200"/>
      <w:outlineLvl w:val="1"/>
    </w:pPr>
    <w:rPr>
      <w:rFonts w:ascii="Cambria" w:hAnsi="Cambria" w:eastAsia="楷体"/>
      <w:b/>
      <w:bCs/>
      <w:sz w:val="28"/>
      <w:szCs w:val="32"/>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25"/>
    <w:autoRedefine/>
    <w:semiHidden/>
    <w:unhideWhenUsed/>
    <w:qFormat/>
    <w:uiPriority w:val="99"/>
    <w:pPr>
      <w:jc w:val="left"/>
    </w:pPr>
  </w:style>
  <w:style w:type="paragraph" w:styleId="7">
    <w:name w:val="Balloon Text"/>
    <w:basedOn w:val="1"/>
    <w:link w:val="23"/>
    <w:semiHidden/>
    <w:unhideWhenUsed/>
    <w:qFormat/>
    <w:uiPriority w:val="99"/>
    <w:rPr>
      <w:sz w:val="18"/>
      <w:szCs w:val="18"/>
    </w:rPr>
  </w:style>
  <w:style w:type="paragraph" w:styleId="8">
    <w:name w:val="footer"/>
    <w:basedOn w:val="1"/>
    <w:link w:val="18"/>
    <w:autoRedefine/>
    <w:unhideWhenUsed/>
    <w:qFormat/>
    <w:uiPriority w:val="99"/>
    <w:pPr>
      <w:tabs>
        <w:tab w:val="center" w:pos="4153"/>
        <w:tab w:val="right" w:pos="8306"/>
      </w:tabs>
      <w:snapToGrid w:val="0"/>
      <w:jc w:val="left"/>
    </w:pPr>
    <w:rPr>
      <w:sz w:val="18"/>
      <w:szCs w:val="18"/>
    </w:rPr>
  </w:style>
  <w:style w:type="paragraph" w:styleId="9">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semiHidden/>
    <w:unhideWhenUsed/>
    <w:qFormat/>
    <w:uiPriority w:val="99"/>
    <w:pPr>
      <w:widowControl/>
      <w:spacing w:before="100" w:beforeAutospacing="1" w:after="100" w:afterAutospacing="1"/>
      <w:jc w:val="left"/>
    </w:pPr>
    <w:rPr>
      <w:rFonts w:ascii="微软雅黑" w:hAnsi="微软雅黑" w:eastAsia="微软雅黑" w:cs="宋体"/>
      <w:kern w:val="0"/>
      <w:sz w:val="24"/>
      <w:szCs w:val="24"/>
    </w:rPr>
  </w:style>
  <w:style w:type="paragraph" w:styleId="11">
    <w:name w:val="annotation subject"/>
    <w:basedOn w:val="6"/>
    <w:next w:val="6"/>
    <w:link w:val="26"/>
    <w:autoRedefine/>
    <w:semiHidden/>
    <w:unhideWhenUsed/>
    <w:qFormat/>
    <w:uiPriority w:val="99"/>
    <w:rPr>
      <w:b/>
      <w:bCs/>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annotation reference"/>
    <w:basedOn w:val="14"/>
    <w:autoRedefine/>
    <w:semiHidden/>
    <w:unhideWhenUsed/>
    <w:qFormat/>
    <w:uiPriority w:val="99"/>
    <w:rPr>
      <w:sz w:val="21"/>
      <w:szCs w:val="21"/>
    </w:rPr>
  </w:style>
  <w:style w:type="character" w:customStyle="1" w:styleId="17">
    <w:name w:val="页眉 字符"/>
    <w:basedOn w:val="14"/>
    <w:link w:val="9"/>
    <w:autoRedefine/>
    <w:qFormat/>
    <w:uiPriority w:val="99"/>
    <w:rPr>
      <w:sz w:val="18"/>
      <w:szCs w:val="18"/>
    </w:rPr>
  </w:style>
  <w:style w:type="character" w:customStyle="1" w:styleId="18">
    <w:name w:val="页脚 字符"/>
    <w:basedOn w:val="14"/>
    <w:link w:val="8"/>
    <w:autoRedefine/>
    <w:qFormat/>
    <w:uiPriority w:val="99"/>
    <w:rPr>
      <w:sz w:val="18"/>
      <w:szCs w:val="18"/>
    </w:rPr>
  </w:style>
  <w:style w:type="character" w:customStyle="1" w:styleId="19">
    <w:name w:val="标题 2 字符"/>
    <w:basedOn w:val="14"/>
    <w:link w:val="3"/>
    <w:autoRedefine/>
    <w:qFormat/>
    <w:uiPriority w:val="0"/>
    <w:rPr>
      <w:rFonts w:ascii="Cambria" w:hAnsi="Cambria" w:eastAsia="楷体" w:cs="Times New Roman"/>
      <w:b/>
      <w:bCs/>
      <w:sz w:val="28"/>
      <w:szCs w:val="32"/>
    </w:rPr>
  </w:style>
  <w:style w:type="character" w:customStyle="1" w:styleId="20">
    <w:name w:val="标题 1 字符"/>
    <w:basedOn w:val="14"/>
    <w:link w:val="2"/>
    <w:autoRedefine/>
    <w:qFormat/>
    <w:uiPriority w:val="9"/>
    <w:rPr>
      <w:rFonts w:ascii="Times New Roman" w:hAnsi="Times New Roman" w:eastAsia="宋体" w:cs="Times New Roman"/>
      <w:b/>
      <w:bCs/>
      <w:kern w:val="44"/>
      <w:sz w:val="44"/>
      <w:szCs w:val="44"/>
    </w:rPr>
  </w:style>
  <w:style w:type="character" w:customStyle="1" w:styleId="21">
    <w:name w:val="标题 3 字符"/>
    <w:basedOn w:val="14"/>
    <w:link w:val="4"/>
    <w:autoRedefine/>
    <w:qFormat/>
    <w:uiPriority w:val="9"/>
    <w:rPr>
      <w:rFonts w:ascii="Times New Roman" w:hAnsi="Times New Roman" w:eastAsia="宋体" w:cs="Times New Roman"/>
      <w:b/>
      <w:bCs/>
      <w:sz w:val="32"/>
      <w:szCs w:val="32"/>
    </w:rPr>
  </w:style>
  <w:style w:type="character" w:customStyle="1" w:styleId="22">
    <w:name w:val="标题 4 字符"/>
    <w:basedOn w:val="14"/>
    <w:link w:val="5"/>
    <w:autoRedefine/>
    <w:qFormat/>
    <w:uiPriority w:val="9"/>
    <w:rPr>
      <w:rFonts w:asciiTheme="majorHAnsi" w:hAnsiTheme="majorHAnsi" w:eastAsiaTheme="majorEastAsia" w:cstheme="majorBidi"/>
      <w:b/>
      <w:bCs/>
      <w:sz w:val="28"/>
      <w:szCs w:val="28"/>
    </w:rPr>
  </w:style>
  <w:style w:type="character" w:customStyle="1" w:styleId="23">
    <w:name w:val="批注框文本 字符"/>
    <w:basedOn w:val="14"/>
    <w:link w:val="7"/>
    <w:autoRedefine/>
    <w:semiHidden/>
    <w:qFormat/>
    <w:uiPriority w:val="99"/>
    <w:rPr>
      <w:rFonts w:ascii="Times New Roman" w:hAnsi="Times New Roman" w:eastAsia="宋体" w:cs="Times New Roman"/>
      <w:sz w:val="18"/>
      <w:szCs w:val="18"/>
    </w:rPr>
  </w:style>
  <w:style w:type="paragraph" w:customStyle="1" w:styleId="24">
    <w:name w:val="Revision"/>
    <w:autoRedefine/>
    <w:hidden/>
    <w:semiHidden/>
    <w:qFormat/>
    <w:uiPriority w:val="99"/>
    <w:rPr>
      <w:rFonts w:ascii="Times New Roman" w:hAnsi="Times New Roman" w:eastAsia="宋体" w:cs="Times New Roman"/>
      <w:kern w:val="2"/>
      <w:sz w:val="21"/>
      <w:lang w:val="en-US" w:eastAsia="zh-CN" w:bidi="ar-SA"/>
    </w:rPr>
  </w:style>
  <w:style w:type="character" w:customStyle="1" w:styleId="25">
    <w:name w:val="批注文字 字符"/>
    <w:basedOn w:val="14"/>
    <w:link w:val="6"/>
    <w:autoRedefine/>
    <w:semiHidden/>
    <w:qFormat/>
    <w:uiPriority w:val="99"/>
    <w:rPr>
      <w:rFonts w:ascii="Times New Roman" w:hAnsi="Times New Roman" w:eastAsia="宋体" w:cs="Times New Roman"/>
      <w:kern w:val="2"/>
      <w:sz w:val="21"/>
    </w:rPr>
  </w:style>
  <w:style w:type="character" w:customStyle="1" w:styleId="26">
    <w:name w:val="批注主题 字符"/>
    <w:basedOn w:val="25"/>
    <w:link w:val="11"/>
    <w:autoRedefine/>
    <w:semiHidden/>
    <w:qFormat/>
    <w:uiPriority w:val="99"/>
    <w:rPr>
      <w:rFonts w:ascii="Times New Roman" w:hAnsi="Times New Roman" w:eastAsia="宋体" w:cs="Times New Roman"/>
      <w:b/>
      <w:bCs/>
      <w:kern w:val="2"/>
      <w:sz w:val="21"/>
    </w:rPr>
  </w:style>
  <w:style w:type="character" w:customStyle="1" w:styleId="27">
    <w:name w:val="标题 1 Char"/>
    <w:link w:val="2"/>
    <w:autoRedefine/>
    <w:qFormat/>
    <w:uiPriority w:val="0"/>
    <w:rPr>
      <w:rFonts w:eastAsia="方正小标宋简体" w:asciiTheme="minorAscii" w:hAnsiTheme="minorAscii"/>
      <w:kern w:val="44"/>
      <w:sz w:val="44"/>
    </w:rPr>
  </w:style>
  <w:style w:type="paragraph" w:customStyle="1" w:styleId="28">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3290</Words>
  <Characters>3335</Characters>
  <Lines>49</Lines>
  <Paragraphs>13</Paragraphs>
  <TotalTime>14</TotalTime>
  <ScaleCrop>false</ScaleCrop>
  <LinksUpToDate>false</LinksUpToDate>
  <CharactersWithSpaces>3662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2023-09-21T08:33:00Z</dcterms:created>
  <dc:creator>张浩</dc:creator>
  <cp:lastModifiedBy>卢丹</cp:lastModifiedBy>
  <cp:lastPrinted>2023-03-29T07:41:00Z</cp:lastPrinted>
  <dcterms:modified xsi:type="dcterms:W3CDTF">2025-12-09T07:31:27Z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908408DD9510472589A63CC889BB1E2B_13</vt:lpwstr>
  </property>
  <property fmtid="{D5CDD505-2E9C-101B-9397-08002B2CF9AE}" pid="4" name="KSOTemplateDocerSaveRecord">
    <vt:lpwstr>eyJoZGlkIjoiOGE4NTE0YzU1M2NhZTRjZGUxYmQ0NzZlOTdhZjk3OTYiLCJ1c2VySWQiOiI0MzgwOTA2NTIifQ==</vt:lpwstr>
  </property>
</Properties>
</file>