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A9E" w:rsidRDefault="00D33A9E" w:rsidP="00D33A9E">
      <w:p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>附件2</w:t>
      </w:r>
    </w:p>
    <w:p w:rsidR="00D33A9E" w:rsidRDefault="00D33A9E" w:rsidP="00D33A9E">
      <w:pPr>
        <w:adjustRightInd w:val="0"/>
        <w:snapToGrid w:val="0"/>
        <w:jc w:val="center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>  </w:t>
      </w:r>
      <w:bookmarkStart w:id="0" w:name="_Hlk179379634"/>
      <w:bookmarkStart w:id="1" w:name="_Hlk179379914"/>
      <w:bookmarkStart w:id="2" w:name="_GoBack"/>
      <w:r>
        <w:rPr>
          <w:rFonts w:ascii="微软雅黑" w:eastAsia="微软雅黑" w:hAnsi="微软雅黑" w:hint="eastAsia"/>
          <w:sz w:val="36"/>
          <w:szCs w:val="36"/>
        </w:rPr>
        <w:t>“</w:t>
      </w:r>
      <w:r>
        <w:rPr>
          <w:rFonts w:ascii="微软雅黑" w:eastAsia="微软雅黑" w:hAnsi="微软雅黑" w:hint="eastAsia"/>
          <w:sz w:val="32"/>
          <w:szCs w:val="32"/>
        </w:rPr>
        <w:t>全球钢铁贸易与供应链国别研究”</w:t>
      </w:r>
      <w:bookmarkEnd w:id="0"/>
      <w:r>
        <w:rPr>
          <w:rFonts w:ascii="微软雅黑" w:eastAsia="微软雅黑" w:hAnsi="微软雅黑" w:hint="eastAsia"/>
          <w:sz w:val="32"/>
          <w:szCs w:val="32"/>
        </w:rPr>
        <w:t>指南</w:t>
      </w:r>
      <w:bookmarkEnd w:id="1"/>
    </w:p>
    <w:bookmarkEnd w:id="2"/>
    <w:p w:rsidR="00D33A9E" w:rsidRDefault="00D33A9E" w:rsidP="00D33A9E">
      <w:p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>  </w:t>
      </w:r>
    </w:p>
    <w:p w:rsidR="00D33A9E" w:rsidRDefault="00D33A9E" w:rsidP="00D33A9E">
      <w:pPr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>当前全球钢铁市场竞争加剧，贸易格局变化显著。钢铁贸易商正面临着拓展新市场的战略机遇，同时也需要应对新兴市场中的不确定性和复杂性。本课题研究旨在通过对目标市场的系统化调研，全面分析其钢铁行业的现状、供应</w:t>
      </w:r>
      <w:proofErr w:type="gramStart"/>
      <w:r>
        <w:rPr>
          <w:rFonts w:ascii="微软雅黑" w:eastAsia="微软雅黑" w:hAnsi="微软雅黑" w:hint="eastAsia"/>
          <w:sz w:val="32"/>
          <w:szCs w:val="32"/>
        </w:rPr>
        <w:t>链特征</w:t>
      </w:r>
      <w:proofErr w:type="gramEnd"/>
      <w:r>
        <w:rPr>
          <w:rFonts w:ascii="微软雅黑" w:eastAsia="微软雅黑" w:hAnsi="微软雅黑" w:hint="eastAsia"/>
          <w:sz w:val="32"/>
          <w:szCs w:val="32"/>
        </w:rPr>
        <w:t>以及需求动态，梳理出市场发展趋势与潜在机遇，帮助贸易企业在国际贸易中更加精准地把握方向。</w:t>
      </w:r>
    </w:p>
    <w:p w:rsidR="00D33A9E" w:rsidRDefault="00D33A9E" w:rsidP="00D33A9E">
      <w:pPr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>为帮助项目投标人更好地了解我司此项目的调研诉求，梳理本课题（包括项目1-1和项目1-2</w:t>
      </w:r>
      <w:proofErr w:type="gramStart"/>
      <w:r>
        <w:rPr>
          <w:rFonts w:ascii="微软雅黑" w:eastAsia="微软雅黑" w:hAnsi="微软雅黑" w:hint="eastAsia"/>
          <w:sz w:val="32"/>
          <w:szCs w:val="32"/>
        </w:rPr>
        <w:t>两个</w:t>
      </w:r>
      <w:proofErr w:type="gramEnd"/>
      <w:r>
        <w:rPr>
          <w:rFonts w:ascii="微软雅黑" w:eastAsia="微软雅黑" w:hAnsi="微软雅黑" w:hint="eastAsia"/>
          <w:sz w:val="32"/>
          <w:szCs w:val="32"/>
        </w:rPr>
        <w:t>课题）需要重点探讨的调研内容框架如下：</w:t>
      </w:r>
    </w:p>
    <w:p w:rsidR="00D33A9E" w:rsidRPr="0085178B" w:rsidRDefault="00D33A9E" w:rsidP="00D33A9E">
      <w:pPr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/>
          <w:sz w:val="32"/>
          <w:szCs w:val="32"/>
        </w:rPr>
        <w:t>一、宏观环境</w:t>
      </w:r>
    </w:p>
    <w:p w:rsidR="00D33A9E" w:rsidRDefault="00D33A9E" w:rsidP="00D33A9E">
      <w:pPr>
        <w:tabs>
          <w:tab w:val="left" w:pos="720"/>
        </w:tabs>
        <w:adjustRightInd w:val="0"/>
        <w:snapToGrid w:val="0"/>
        <w:ind w:firstLineChars="200" w:firstLine="640"/>
        <w:jc w:val="left"/>
        <w:rPr>
          <w:rFonts w:ascii="华文宋体" w:eastAsia="华文宋体" w:hAnsi="华文宋体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1. </w:t>
      </w:r>
      <w:r w:rsidRPr="0085178B">
        <w:rPr>
          <w:rFonts w:ascii="微软雅黑" w:eastAsia="微软雅黑" w:hAnsi="微软雅黑"/>
          <w:sz w:val="32"/>
          <w:szCs w:val="32"/>
        </w:rPr>
        <w:t>金融环境：关注货币政策、外汇波动、GDP等经济趋势。</w:t>
      </w:r>
    </w:p>
    <w:p w:rsidR="00D33A9E" w:rsidRPr="0085178B" w:rsidRDefault="00D33A9E" w:rsidP="00D33A9E">
      <w:pPr>
        <w:tabs>
          <w:tab w:val="left" w:pos="720"/>
        </w:tabs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2. </w:t>
      </w:r>
      <w:r w:rsidRPr="0085178B">
        <w:rPr>
          <w:rFonts w:ascii="微软雅黑" w:eastAsia="微软雅黑" w:hAnsi="微软雅黑"/>
          <w:sz w:val="32"/>
          <w:szCs w:val="32"/>
        </w:rPr>
        <w:t>政治导向：包括政策稳定性、外贸政策、贸易法规等。</w:t>
      </w:r>
    </w:p>
    <w:p w:rsidR="00D33A9E" w:rsidRPr="0085178B" w:rsidRDefault="00D33A9E" w:rsidP="00D33A9E">
      <w:pPr>
        <w:tabs>
          <w:tab w:val="left" w:pos="720"/>
        </w:tabs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3. </w:t>
      </w:r>
      <w:r w:rsidRPr="0085178B">
        <w:rPr>
          <w:rFonts w:ascii="微软雅黑" w:eastAsia="微软雅黑" w:hAnsi="微软雅黑"/>
          <w:sz w:val="32"/>
          <w:szCs w:val="32"/>
        </w:rPr>
        <w:t>重点产业：</w:t>
      </w:r>
    </w:p>
    <w:p w:rsidR="00D33A9E" w:rsidRPr="0085178B" w:rsidRDefault="00D33A9E" w:rsidP="00D33A9E">
      <w:pPr>
        <w:numPr>
          <w:ilvl w:val="1"/>
          <w:numId w:val="1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 w:hint="eastAsia"/>
          <w:sz w:val="32"/>
          <w:szCs w:val="32"/>
        </w:rPr>
        <w:t>国家</w:t>
      </w:r>
      <w:r w:rsidRPr="0085178B">
        <w:rPr>
          <w:rFonts w:ascii="微软雅黑" w:eastAsia="微软雅黑" w:hAnsi="微软雅黑"/>
          <w:sz w:val="32"/>
          <w:szCs w:val="32"/>
        </w:rPr>
        <w:t>产业结构</w:t>
      </w:r>
    </w:p>
    <w:p w:rsidR="00D33A9E" w:rsidRPr="0085178B" w:rsidRDefault="00D33A9E" w:rsidP="00D33A9E">
      <w:pPr>
        <w:numPr>
          <w:ilvl w:val="1"/>
          <w:numId w:val="1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/>
          <w:sz w:val="32"/>
          <w:szCs w:val="32"/>
        </w:rPr>
        <w:t>钢铁下游的重点行业（如房地产、汽车、机械等）发展情况。</w:t>
      </w:r>
    </w:p>
    <w:p w:rsidR="00D33A9E" w:rsidRPr="0085178B" w:rsidRDefault="00D33A9E" w:rsidP="00D33A9E">
      <w:pPr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/>
          <w:sz w:val="32"/>
          <w:szCs w:val="32"/>
        </w:rPr>
        <w:t>二、钢铁行业</w:t>
      </w:r>
    </w:p>
    <w:p w:rsidR="00D33A9E" w:rsidRPr="0085178B" w:rsidRDefault="00D33A9E" w:rsidP="00D33A9E">
      <w:pPr>
        <w:tabs>
          <w:tab w:val="left" w:pos="720"/>
        </w:tabs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1. </w:t>
      </w:r>
      <w:r w:rsidRPr="0085178B">
        <w:rPr>
          <w:rFonts w:ascii="微软雅黑" w:eastAsia="微软雅黑" w:hAnsi="微软雅黑"/>
          <w:sz w:val="32"/>
          <w:szCs w:val="32"/>
        </w:rPr>
        <w:t>钢铁贸易政策：</w:t>
      </w:r>
    </w:p>
    <w:p w:rsidR="00D33A9E" w:rsidRPr="0085178B" w:rsidRDefault="00D33A9E" w:rsidP="00D33A9E">
      <w:pPr>
        <w:numPr>
          <w:ilvl w:val="1"/>
          <w:numId w:val="2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/>
          <w:sz w:val="32"/>
          <w:szCs w:val="32"/>
        </w:rPr>
        <w:t>钢铁产品进出口关税政策</w:t>
      </w:r>
      <w:r w:rsidRPr="0085178B">
        <w:rPr>
          <w:rFonts w:ascii="微软雅黑" w:eastAsia="微软雅黑" w:hAnsi="微软雅黑" w:hint="eastAsia"/>
          <w:sz w:val="32"/>
          <w:szCs w:val="32"/>
        </w:rPr>
        <w:t>、</w:t>
      </w:r>
      <w:r w:rsidRPr="0085178B">
        <w:rPr>
          <w:rFonts w:ascii="微软雅黑" w:eastAsia="微软雅黑" w:hAnsi="微软雅黑"/>
          <w:sz w:val="32"/>
          <w:szCs w:val="32"/>
        </w:rPr>
        <w:t>贸易壁垒</w:t>
      </w:r>
      <w:r w:rsidRPr="0085178B">
        <w:rPr>
          <w:rFonts w:ascii="微软雅黑" w:eastAsia="微软雅黑" w:hAnsi="微软雅黑" w:hint="eastAsia"/>
          <w:sz w:val="32"/>
          <w:szCs w:val="32"/>
        </w:rPr>
        <w:t>（</w:t>
      </w:r>
      <w:r w:rsidRPr="0085178B">
        <w:rPr>
          <w:rFonts w:ascii="微软雅黑" w:eastAsia="微软雅黑" w:hAnsi="微软雅黑"/>
          <w:sz w:val="32"/>
          <w:szCs w:val="32"/>
        </w:rPr>
        <w:t>反倾销</w:t>
      </w:r>
      <w:r w:rsidRPr="0085178B">
        <w:rPr>
          <w:rFonts w:ascii="微软雅黑" w:eastAsia="微软雅黑" w:hAnsi="微软雅黑" w:hint="eastAsia"/>
          <w:sz w:val="32"/>
          <w:szCs w:val="32"/>
        </w:rPr>
        <w:t>、</w:t>
      </w:r>
      <w:r w:rsidRPr="0085178B">
        <w:rPr>
          <w:rFonts w:ascii="微软雅黑" w:eastAsia="微软雅黑" w:hAnsi="微软雅黑"/>
          <w:sz w:val="32"/>
          <w:szCs w:val="32"/>
        </w:rPr>
        <w:t>反补贴相关法规</w:t>
      </w:r>
      <w:r w:rsidRPr="0085178B">
        <w:rPr>
          <w:rFonts w:ascii="微软雅黑" w:eastAsia="微软雅黑" w:hAnsi="微软雅黑" w:hint="eastAsia"/>
          <w:sz w:val="32"/>
          <w:szCs w:val="32"/>
        </w:rPr>
        <w:t>、</w:t>
      </w:r>
      <w:r w:rsidRPr="0085178B">
        <w:rPr>
          <w:rFonts w:ascii="微软雅黑" w:eastAsia="微软雅黑" w:hAnsi="微软雅黑"/>
          <w:sz w:val="32"/>
          <w:szCs w:val="32"/>
        </w:rPr>
        <w:t>配额制度</w:t>
      </w:r>
      <w:r w:rsidRPr="0085178B">
        <w:rPr>
          <w:rFonts w:ascii="微软雅黑" w:eastAsia="微软雅黑" w:hAnsi="微软雅黑" w:hint="eastAsia"/>
          <w:sz w:val="32"/>
          <w:szCs w:val="32"/>
        </w:rPr>
        <w:t>）等</w:t>
      </w:r>
    </w:p>
    <w:p w:rsidR="00D33A9E" w:rsidRPr="0085178B" w:rsidRDefault="00D33A9E" w:rsidP="00D33A9E">
      <w:pPr>
        <w:numPr>
          <w:ilvl w:val="1"/>
          <w:numId w:val="2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/>
          <w:sz w:val="32"/>
          <w:szCs w:val="32"/>
        </w:rPr>
        <w:t>环保法规：如碳边境调节机制（CBAM）等。</w:t>
      </w:r>
    </w:p>
    <w:p w:rsidR="00D33A9E" w:rsidRPr="0085178B" w:rsidRDefault="00D33A9E" w:rsidP="00D33A9E">
      <w:pPr>
        <w:tabs>
          <w:tab w:val="left" w:pos="720"/>
        </w:tabs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lastRenderedPageBreak/>
        <w:t xml:space="preserve">2. </w:t>
      </w:r>
      <w:r w:rsidRPr="0085178B">
        <w:rPr>
          <w:rFonts w:ascii="微软雅黑" w:eastAsia="微软雅黑" w:hAnsi="微软雅黑" w:hint="eastAsia"/>
          <w:sz w:val="32"/>
          <w:szCs w:val="32"/>
        </w:rPr>
        <w:t>钢铁行业供需情况：</w:t>
      </w:r>
    </w:p>
    <w:p w:rsidR="00D33A9E" w:rsidRPr="0085178B" w:rsidRDefault="00D33A9E" w:rsidP="00D33A9E">
      <w:pPr>
        <w:numPr>
          <w:ilvl w:val="1"/>
          <w:numId w:val="2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 w:hint="eastAsia"/>
          <w:sz w:val="32"/>
          <w:szCs w:val="32"/>
        </w:rPr>
        <w:t>本地供给</w:t>
      </w:r>
      <w:r w:rsidRPr="0085178B">
        <w:rPr>
          <w:rFonts w:ascii="微软雅黑" w:eastAsia="微软雅黑" w:hAnsi="微软雅黑"/>
          <w:sz w:val="32"/>
          <w:szCs w:val="32"/>
        </w:rPr>
        <w:t>：</w:t>
      </w:r>
      <w:r w:rsidRPr="0085178B">
        <w:rPr>
          <w:rFonts w:ascii="微软雅黑" w:eastAsia="微软雅黑" w:hAnsi="微软雅黑" w:hint="eastAsia"/>
          <w:sz w:val="32"/>
          <w:szCs w:val="32"/>
        </w:rPr>
        <w:t>钢铁产能产量/本地钢铁产品类型及分布/生产情况</w:t>
      </w:r>
      <w:r w:rsidRPr="0085178B">
        <w:rPr>
          <w:rFonts w:ascii="微软雅黑" w:eastAsia="微软雅黑" w:hAnsi="微软雅黑"/>
          <w:sz w:val="32"/>
          <w:szCs w:val="32"/>
        </w:rPr>
        <w:t>等。</w:t>
      </w:r>
    </w:p>
    <w:p w:rsidR="00D33A9E" w:rsidRPr="0085178B" w:rsidRDefault="00D33A9E" w:rsidP="00D33A9E">
      <w:pPr>
        <w:numPr>
          <w:ilvl w:val="1"/>
          <w:numId w:val="2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 w:hint="eastAsia"/>
          <w:sz w:val="32"/>
          <w:szCs w:val="32"/>
        </w:rPr>
        <w:t>本地需求：模型计算：钢铁消费量及类型/下游行业（如建筑、汽车、机械等）的钢铁需求量。</w:t>
      </w:r>
    </w:p>
    <w:p w:rsidR="00D33A9E" w:rsidRPr="0085178B" w:rsidRDefault="00D33A9E" w:rsidP="00D33A9E">
      <w:pPr>
        <w:numPr>
          <w:ilvl w:val="1"/>
          <w:numId w:val="2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 w:hint="eastAsia"/>
          <w:sz w:val="32"/>
          <w:szCs w:val="32"/>
        </w:rPr>
        <w:t>进出口分析：钢铁进出口量/进口产品类型及价格偏好/贸易流向/重点贸易企业。</w:t>
      </w:r>
    </w:p>
    <w:p w:rsidR="00D33A9E" w:rsidRPr="0085178B" w:rsidRDefault="00D33A9E" w:rsidP="00D33A9E">
      <w:pPr>
        <w:numPr>
          <w:ilvl w:val="1"/>
          <w:numId w:val="2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 w:hint="eastAsia"/>
          <w:sz w:val="32"/>
          <w:szCs w:val="32"/>
        </w:rPr>
        <w:t>本地钢铁供应链的供需模式：重点下游行业的采购周期/采购主体类型/一般性规律等。</w:t>
      </w:r>
    </w:p>
    <w:p w:rsidR="00D33A9E" w:rsidRPr="0085178B" w:rsidRDefault="00D33A9E" w:rsidP="00D33A9E">
      <w:pPr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/>
          <w:sz w:val="32"/>
          <w:szCs w:val="32"/>
        </w:rPr>
        <w:t>三、微观市场</w:t>
      </w:r>
    </w:p>
    <w:p w:rsidR="00D33A9E" w:rsidRPr="0085178B" w:rsidRDefault="00D33A9E" w:rsidP="00D33A9E">
      <w:pPr>
        <w:tabs>
          <w:tab w:val="left" w:pos="720"/>
        </w:tabs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1. </w:t>
      </w:r>
      <w:r w:rsidRPr="0085178B">
        <w:rPr>
          <w:rFonts w:ascii="微软雅黑" w:eastAsia="微软雅黑" w:hAnsi="微软雅黑"/>
          <w:sz w:val="32"/>
          <w:szCs w:val="32"/>
        </w:rPr>
        <w:t>市场结构：</w:t>
      </w:r>
    </w:p>
    <w:p w:rsidR="00D33A9E" w:rsidRPr="0085178B" w:rsidRDefault="00D33A9E" w:rsidP="00D33A9E">
      <w:pPr>
        <w:numPr>
          <w:ilvl w:val="1"/>
          <w:numId w:val="3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/>
          <w:sz w:val="32"/>
          <w:szCs w:val="32"/>
        </w:rPr>
        <w:t>产业链环节分布</w:t>
      </w:r>
      <w:r w:rsidRPr="0085178B">
        <w:rPr>
          <w:rFonts w:ascii="微软雅黑" w:eastAsia="微软雅黑" w:hAnsi="微软雅黑" w:hint="eastAsia"/>
          <w:sz w:val="32"/>
          <w:szCs w:val="32"/>
        </w:rPr>
        <w:t>、</w:t>
      </w:r>
      <w:r w:rsidRPr="0085178B">
        <w:rPr>
          <w:rFonts w:ascii="微软雅黑" w:eastAsia="微软雅黑" w:hAnsi="微软雅黑"/>
          <w:sz w:val="32"/>
          <w:szCs w:val="32"/>
        </w:rPr>
        <w:t>市场集中度、主要玩家、目标企业数量</w:t>
      </w:r>
      <w:r w:rsidRPr="0085178B">
        <w:rPr>
          <w:rFonts w:ascii="微软雅黑" w:eastAsia="微软雅黑" w:hAnsi="微软雅黑" w:hint="eastAsia"/>
          <w:sz w:val="32"/>
          <w:szCs w:val="32"/>
        </w:rPr>
        <w:t>测算等</w:t>
      </w:r>
      <w:r w:rsidRPr="0085178B">
        <w:rPr>
          <w:rFonts w:ascii="微软雅黑" w:eastAsia="微软雅黑" w:hAnsi="微软雅黑"/>
          <w:sz w:val="32"/>
          <w:szCs w:val="32"/>
        </w:rPr>
        <w:t>。</w:t>
      </w:r>
    </w:p>
    <w:p w:rsidR="00D33A9E" w:rsidRPr="0085178B" w:rsidRDefault="00D33A9E" w:rsidP="00D33A9E">
      <w:pPr>
        <w:tabs>
          <w:tab w:val="left" w:pos="720"/>
        </w:tabs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2. </w:t>
      </w:r>
      <w:r w:rsidRPr="0085178B">
        <w:rPr>
          <w:rFonts w:ascii="微软雅黑" w:eastAsia="微软雅黑" w:hAnsi="微软雅黑"/>
          <w:sz w:val="32"/>
          <w:szCs w:val="32"/>
        </w:rPr>
        <w:t>价格分析：研究价格形成机制、价格波动因素</w:t>
      </w:r>
      <w:r w:rsidRPr="0085178B">
        <w:rPr>
          <w:rFonts w:ascii="微软雅黑" w:eastAsia="微软雅黑" w:hAnsi="微软雅黑" w:hint="eastAsia"/>
          <w:sz w:val="32"/>
          <w:szCs w:val="32"/>
        </w:rPr>
        <w:t>等</w:t>
      </w:r>
      <w:r w:rsidRPr="0085178B">
        <w:rPr>
          <w:rFonts w:ascii="微软雅黑" w:eastAsia="微软雅黑" w:hAnsi="微软雅黑"/>
          <w:sz w:val="32"/>
          <w:szCs w:val="32"/>
        </w:rPr>
        <w:t>。</w:t>
      </w:r>
    </w:p>
    <w:p w:rsidR="00D33A9E" w:rsidRPr="0085178B" w:rsidRDefault="00D33A9E" w:rsidP="00D33A9E">
      <w:pPr>
        <w:tabs>
          <w:tab w:val="left" w:pos="720"/>
        </w:tabs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3. </w:t>
      </w:r>
      <w:r w:rsidRPr="0085178B">
        <w:rPr>
          <w:rFonts w:ascii="微软雅黑" w:eastAsia="微软雅黑" w:hAnsi="微软雅黑"/>
          <w:sz w:val="32"/>
          <w:szCs w:val="32"/>
        </w:rPr>
        <w:t>不同产品的细分市场：</w:t>
      </w:r>
      <w:r w:rsidRPr="0085178B">
        <w:rPr>
          <w:rFonts w:ascii="微软雅黑" w:eastAsia="微软雅黑" w:hAnsi="微软雅黑" w:hint="eastAsia"/>
          <w:sz w:val="32"/>
          <w:szCs w:val="32"/>
        </w:rPr>
        <w:t>主要玩家/未来供需潜力/增长趋势</w:t>
      </w:r>
      <w:r w:rsidRPr="0085178B">
        <w:rPr>
          <w:rFonts w:ascii="微软雅黑" w:eastAsia="微软雅黑" w:hAnsi="微软雅黑"/>
          <w:sz w:val="32"/>
          <w:szCs w:val="32"/>
        </w:rPr>
        <w:t>。</w:t>
      </w:r>
    </w:p>
    <w:p w:rsidR="00D33A9E" w:rsidRPr="0085178B" w:rsidRDefault="00D33A9E" w:rsidP="00D33A9E">
      <w:pPr>
        <w:tabs>
          <w:tab w:val="left" w:pos="720"/>
        </w:tabs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4. </w:t>
      </w:r>
      <w:r w:rsidRPr="0085178B">
        <w:rPr>
          <w:rFonts w:ascii="微软雅黑" w:eastAsia="微软雅黑" w:hAnsi="微软雅黑"/>
          <w:sz w:val="32"/>
          <w:szCs w:val="32"/>
        </w:rPr>
        <w:t>竞争环境：</w:t>
      </w:r>
      <w:r w:rsidRPr="0085178B">
        <w:rPr>
          <w:rFonts w:ascii="微软雅黑" w:eastAsia="微软雅黑" w:hAnsi="微软雅黑" w:hint="eastAsia"/>
          <w:sz w:val="32"/>
          <w:szCs w:val="32"/>
        </w:rPr>
        <w:t>主要竞争者（海外钢铁贸易企业/本地钢厂/潜在进入者）</w:t>
      </w:r>
      <w:r w:rsidRPr="0085178B">
        <w:rPr>
          <w:rFonts w:ascii="微软雅黑" w:eastAsia="微软雅黑" w:hAnsi="微软雅黑"/>
          <w:sz w:val="32"/>
          <w:szCs w:val="32"/>
        </w:rPr>
        <w:t>。</w:t>
      </w:r>
    </w:p>
    <w:p w:rsidR="00D33A9E" w:rsidRPr="0085178B" w:rsidRDefault="00D33A9E" w:rsidP="00D33A9E">
      <w:pPr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/>
          <w:sz w:val="32"/>
          <w:szCs w:val="32"/>
        </w:rPr>
        <w:t>四、</w:t>
      </w:r>
      <w:proofErr w:type="gramStart"/>
      <w:r w:rsidRPr="0085178B">
        <w:rPr>
          <w:rFonts w:ascii="微软雅黑" w:eastAsia="微软雅黑" w:hAnsi="微软雅黑"/>
          <w:sz w:val="32"/>
          <w:szCs w:val="32"/>
        </w:rPr>
        <w:t>研</w:t>
      </w:r>
      <w:proofErr w:type="gramEnd"/>
      <w:r w:rsidRPr="0085178B">
        <w:rPr>
          <w:rFonts w:ascii="微软雅黑" w:eastAsia="微软雅黑" w:hAnsi="微软雅黑"/>
          <w:sz w:val="32"/>
          <w:szCs w:val="32"/>
        </w:rPr>
        <w:t>判及建议</w:t>
      </w:r>
    </w:p>
    <w:p w:rsidR="00D33A9E" w:rsidRPr="0085178B" w:rsidRDefault="00D33A9E" w:rsidP="00D33A9E">
      <w:pPr>
        <w:tabs>
          <w:tab w:val="left" w:pos="720"/>
        </w:tabs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1. </w:t>
      </w:r>
      <w:r w:rsidRPr="0085178B">
        <w:rPr>
          <w:rFonts w:ascii="微软雅黑" w:eastAsia="微软雅黑" w:hAnsi="微软雅黑"/>
          <w:sz w:val="32"/>
          <w:szCs w:val="32"/>
        </w:rPr>
        <w:t>风险评估：</w:t>
      </w:r>
    </w:p>
    <w:p w:rsidR="00D33A9E" w:rsidRPr="0085178B" w:rsidRDefault="00D33A9E" w:rsidP="00D33A9E">
      <w:pPr>
        <w:numPr>
          <w:ilvl w:val="1"/>
          <w:numId w:val="4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/>
          <w:sz w:val="32"/>
          <w:szCs w:val="32"/>
        </w:rPr>
        <w:t>经济风险：对市场波动及贸易影响的判断。</w:t>
      </w:r>
    </w:p>
    <w:p w:rsidR="00D33A9E" w:rsidRPr="0085178B" w:rsidRDefault="00D33A9E" w:rsidP="00D33A9E">
      <w:pPr>
        <w:numPr>
          <w:ilvl w:val="1"/>
          <w:numId w:val="4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/>
          <w:sz w:val="32"/>
          <w:szCs w:val="32"/>
        </w:rPr>
        <w:t>政策风险：包括国内外政策对市场的影响（如环保、关税等政策）。</w:t>
      </w:r>
    </w:p>
    <w:p w:rsidR="00D33A9E" w:rsidRPr="0085178B" w:rsidRDefault="00D33A9E" w:rsidP="00D33A9E">
      <w:pPr>
        <w:numPr>
          <w:ilvl w:val="1"/>
          <w:numId w:val="4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/>
          <w:sz w:val="32"/>
          <w:szCs w:val="32"/>
        </w:rPr>
        <w:t>供应链风险：分析市场供应链的承压能力及受外部冲击的影响。</w:t>
      </w:r>
    </w:p>
    <w:p w:rsidR="00D33A9E" w:rsidRPr="0085178B" w:rsidRDefault="00D33A9E" w:rsidP="00D33A9E">
      <w:pPr>
        <w:numPr>
          <w:ilvl w:val="1"/>
          <w:numId w:val="4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 w:hint="eastAsia"/>
          <w:sz w:val="32"/>
          <w:szCs w:val="32"/>
        </w:rPr>
        <w:lastRenderedPageBreak/>
        <w:t>基于上述风险评估下的应对建议（如案例对标等）。</w:t>
      </w:r>
    </w:p>
    <w:p w:rsidR="00D33A9E" w:rsidRPr="0085178B" w:rsidRDefault="00D33A9E" w:rsidP="00D33A9E">
      <w:pPr>
        <w:tabs>
          <w:tab w:val="left" w:pos="720"/>
        </w:tabs>
        <w:adjustRightInd w:val="0"/>
        <w:snapToGrid w:val="0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2. </w:t>
      </w:r>
      <w:r w:rsidRPr="0085178B">
        <w:rPr>
          <w:rFonts w:ascii="微软雅黑" w:eastAsia="微软雅黑" w:hAnsi="微软雅黑"/>
          <w:sz w:val="32"/>
          <w:szCs w:val="32"/>
        </w:rPr>
        <w:t>潜力建议：</w:t>
      </w:r>
    </w:p>
    <w:p w:rsidR="00D33A9E" w:rsidRPr="0085178B" w:rsidRDefault="00D33A9E" w:rsidP="00D33A9E">
      <w:pPr>
        <w:numPr>
          <w:ilvl w:val="1"/>
          <w:numId w:val="4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 w:hint="eastAsia"/>
          <w:sz w:val="32"/>
          <w:szCs w:val="32"/>
        </w:rPr>
        <w:t>重点开拓的钢铁产品类型建议。</w:t>
      </w:r>
    </w:p>
    <w:p w:rsidR="00D33A9E" w:rsidRPr="0085178B" w:rsidRDefault="00D33A9E" w:rsidP="00D33A9E">
      <w:pPr>
        <w:numPr>
          <w:ilvl w:val="1"/>
          <w:numId w:val="4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 w:hint="eastAsia"/>
          <w:sz w:val="32"/>
          <w:szCs w:val="32"/>
        </w:rPr>
        <w:t>重点下游行业聚焦。</w:t>
      </w:r>
    </w:p>
    <w:p w:rsidR="00D33A9E" w:rsidRPr="0085178B" w:rsidRDefault="00D33A9E" w:rsidP="00D33A9E">
      <w:pPr>
        <w:numPr>
          <w:ilvl w:val="1"/>
          <w:numId w:val="4"/>
        </w:numPr>
        <w:adjustRightInd w:val="0"/>
        <w:snapToGrid w:val="0"/>
        <w:rPr>
          <w:rFonts w:ascii="微软雅黑" w:eastAsia="微软雅黑" w:hAnsi="微软雅黑"/>
          <w:sz w:val="32"/>
          <w:szCs w:val="32"/>
        </w:rPr>
      </w:pPr>
      <w:r w:rsidRPr="0085178B">
        <w:rPr>
          <w:rFonts w:ascii="微软雅黑" w:eastAsia="微软雅黑" w:hAnsi="微软雅黑" w:hint="eastAsia"/>
          <w:sz w:val="32"/>
          <w:szCs w:val="32"/>
        </w:rPr>
        <w:t>基于上述钢铁产品和下游行业的聚焦，分析某些供应</w:t>
      </w:r>
      <w:proofErr w:type="gramStart"/>
      <w:r w:rsidRPr="0085178B">
        <w:rPr>
          <w:rFonts w:ascii="微软雅黑" w:eastAsia="微软雅黑" w:hAnsi="微软雅黑" w:hint="eastAsia"/>
          <w:sz w:val="32"/>
          <w:szCs w:val="32"/>
        </w:rPr>
        <w:t>链模式</w:t>
      </w:r>
      <w:proofErr w:type="gramEnd"/>
      <w:r w:rsidRPr="0085178B">
        <w:rPr>
          <w:rFonts w:ascii="微软雅黑" w:eastAsia="微软雅黑" w:hAnsi="微软雅黑" w:hint="eastAsia"/>
          <w:sz w:val="32"/>
          <w:szCs w:val="32"/>
        </w:rPr>
        <w:t>下的潜入建议。</w:t>
      </w:r>
    </w:p>
    <w:p w:rsidR="00935FE0" w:rsidRPr="00D33A9E" w:rsidRDefault="00935FE0"/>
    <w:sectPr w:rsidR="00935FE0" w:rsidRPr="00D33A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26E71"/>
    <w:multiLevelType w:val="multilevel"/>
    <w:tmpl w:val="15726E7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4C214F43"/>
    <w:multiLevelType w:val="multilevel"/>
    <w:tmpl w:val="4C214F4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4F5C528E"/>
    <w:multiLevelType w:val="multilevel"/>
    <w:tmpl w:val="4F5C528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574B16A0"/>
    <w:multiLevelType w:val="multilevel"/>
    <w:tmpl w:val="574B16A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A9E"/>
    <w:rsid w:val="00935FE0"/>
    <w:rsid w:val="00D33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19990"/>
  <w15:chartTrackingRefBased/>
  <w15:docId w15:val="{5A3D0B53-C2F3-46C1-84AE-29D18F911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3A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2024-11-08T02:08:00Z</dcterms:created>
  <dcterms:modified xsi:type="dcterms:W3CDTF">2024-11-08T02:08:00Z</dcterms:modified>
</cp:coreProperties>
</file>