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3ACE" w:rsidRPr="006E3ACE" w:rsidRDefault="006E3ACE" w:rsidP="006E3ACE">
      <w:pPr>
        <w:widowControl/>
        <w:jc w:val="center"/>
        <w:rPr>
          <w:rFonts w:ascii="方正小标宋简体" w:eastAsia="方正小标宋简体" w:hAnsi="微软雅黑" w:cs="宋体" w:hint="eastAsia"/>
          <w:color w:val="000000"/>
          <w:kern w:val="0"/>
          <w:sz w:val="44"/>
          <w:szCs w:val="44"/>
        </w:rPr>
      </w:pPr>
      <w:r w:rsidRPr="006E3ACE">
        <w:rPr>
          <w:rFonts w:ascii="方正小标宋简体" w:eastAsia="方正小标宋简体" w:hAnsi="微软雅黑" w:cs="宋体" w:hint="eastAsia"/>
          <w:color w:val="000000"/>
          <w:kern w:val="0"/>
          <w:sz w:val="44"/>
          <w:szCs w:val="44"/>
        </w:rPr>
        <w:t>2022年度决策咨询研究浦东专项课题指南</w:t>
      </w:r>
    </w:p>
    <w:p w:rsidR="006E3ACE" w:rsidRPr="006E5E26" w:rsidRDefault="006E3ACE" w:rsidP="006E3ACE">
      <w:pPr>
        <w:widowControl/>
        <w:ind w:firstLine="480"/>
        <w:jc w:val="left"/>
        <w:rPr>
          <w:rFonts w:ascii="微软雅黑" w:eastAsia="微软雅黑" w:hAnsi="微软雅黑" w:cs="宋体"/>
          <w:color w:val="000000"/>
          <w:kern w:val="0"/>
          <w:szCs w:val="21"/>
        </w:rPr>
      </w:pPr>
      <w:r w:rsidRPr="006E5E26">
        <w:rPr>
          <w:rFonts w:ascii="微软雅黑" w:eastAsia="微软雅黑" w:hAnsi="微软雅黑" w:cs="宋体" w:hint="eastAsia"/>
          <w:color w:val="000000"/>
          <w:kern w:val="0"/>
          <w:szCs w:val="21"/>
        </w:rPr>
        <w:t> </w:t>
      </w:r>
    </w:p>
    <w:p w:rsidR="006E3ACE" w:rsidRPr="006E3ACE" w:rsidRDefault="006E3ACE" w:rsidP="006E3ACE">
      <w:pPr>
        <w:widowControl/>
        <w:ind w:firstLine="480"/>
        <w:jc w:val="left"/>
        <w:rPr>
          <w:rFonts w:ascii="仿宋_GB2312" w:eastAsia="仿宋_GB2312" w:hAnsi="微软雅黑" w:cs="宋体" w:hint="eastAsia"/>
          <w:color w:val="000000"/>
          <w:kern w:val="0"/>
          <w:sz w:val="32"/>
          <w:szCs w:val="32"/>
        </w:rPr>
      </w:pPr>
      <w:r w:rsidRPr="006E3ACE">
        <w:rPr>
          <w:rFonts w:ascii="仿宋_GB2312" w:eastAsia="仿宋_GB2312" w:hAnsi="微软雅黑" w:cs="宋体" w:hint="eastAsia"/>
          <w:b/>
          <w:bCs/>
          <w:color w:val="000000"/>
          <w:kern w:val="0"/>
          <w:sz w:val="32"/>
          <w:szCs w:val="32"/>
        </w:rPr>
        <w:t>题目：浦东打造全域特殊经济功能区研究</w:t>
      </w:r>
    </w:p>
    <w:p w:rsidR="006E3ACE" w:rsidRPr="006E3ACE" w:rsidRDefault="006E3ACE" w:rsidP="006E3ACE">
      <w:pPr>
        <w:widowControl/>
        <w:ind w:firstLine="480"/>
        <w:jc w:val="left"/>
        <w:rPr>
          <w:rFonts w:ascii="仿宋_GB2312" w:eastAsia="仿宋_GB2312" w:hAnsi="微软雅黑" w:cs="宋体" w:hint="eastAsia"/>
          <w:color w:val="000000"/>
          <w:kern w:val="0"/>
          <w:sz w:val="32"/>
          <w:szCs w:val="32"/>
        </w:rPr>
      </w:pPr>
      <w:r w:rsidRPr="006E3ACE">
        <w:rPr>
          <w:rFonts w:ascii="仿宋_GB2312" w:eastAsia="仿宋_GB2312" w:hAnsi="微软雅黑" w:cs="宋体" w:hint="eastAsia"/>
          <w:b/>
          <w:bCs/>
          <w:color w:val="000000"/>
          <w:kern w:val="0"/>
          <w:sz w:val="32"/>
          <w:szCs w:val="32"/>
        </w:rPr>
        <w:t>研究背景：</w:t>
      </w:r>
      <w:r w:rsidRPr="006E3ACE">
        <w:rPr>
          <w:rFonts w:ascii="仿宋_GB2312" w:eastAsia="仿宋_GB2312" w:hAnsi="微软雅黑" w:cs="宋体" w:hint="eastAsia"/>
          <w:color w:val="000000"/>
          <w:kern w:val="0"/>
          <w:sz w:val="32"/>
          <w:szCs w:val="32"/>
        </w:rPr>
        <w:t>2018年，习近平总书记考察上海时要求上海自由贸易试验区要加快建立与国际通行规则相衔接的制度体系，形成更具国际市场影响力和竞争力的特殊经济功能区。2019年，临港新片区总体方案把建成具有较强国际市场影响力和竞争力的特殊经济功能区作为到2035年的核心目标。2021年中央《引领区意见》明确提出“在浦东全域打造特殊经济功能区”。浦东新区打造社会主义现代化建设引领区，很重要的一项任务是在浦东全域形成并不断强化特殊经济功能。</w:t>
      </w:r>
    </w:p>
    <w:p w:rsidR="006E3ACE" w:rsidRDefault="006E3ACE" w:rsidP="006E3ACE">
      <w:pPr>
        <w:widowControl/>
        <w:ind w:firstLine="480"/>
        <w:jc w:val="left"/>
        <w:rPr>
          <w:rFonts w:ascii="仿宋_GB2312" w:eastAsia="仿宋_GB2312" w:hAnsi="微软雅黑" w:cs="宋体"/>
          <w:b/>
          <w:bCs/>
          <w:color w:val="000000"/>
          <w:kern w:val="0"/>
          <w:sz w:val="32"/>
          <w:szCs w:val="32"/>
        </w:rPr>
      </w:pPr>
      <w:r w:rsidRPr="006E3ACE">
        <w:rPr>
          <w:rFonts w:ascii="仿宋_GB2312" w:eastAsia="仿宋_GB2312" w:hAnsi="微软雅黑" w:cs="宋体" w:hint="eastAsia"/>
          <w:b/>
          <w:bCs/>
          <w:color w:val="000000"/>
          <w:kern w:val="0"/>
          <w:sz w:val="32"/>
          <w:szCs w:val="32"/>
        </w:rPr>
        <w:t>研究重点：</w:t>
      </w:r>
    </w:p>
    <w:p w:rsidR="006E3ACE" w:rsidRPr="006E3ACE" w:rsidRDefault="006E3ACE" w:rsidP="006E3ACE">
      <w:pPr>
        <w:widowControl/>
        <w:ind w:firstLine="480"/>
        <w:jc w:val="left"/>
        <w:rPr>
          <w:rFonts w:ascii="仿宋_GB2312" w:eastAsia="仿宋_GB2312" w:hAnsi="微软雅黑" w:cs="宋体"/>
          <w:b/>
          <w:bCs/>
          <w:color w:val="000000"/>
          <w:kern w:val="0"/>
          <w:sz w:val="32"/>
          <w:szCs w:val="32"/>
        </w:rPr>
      </w:pPr>
      <w:r w:rsidRPr="006E3ACE">
        <w:rPr>
          <w:rFonts w:ascii="仿宋_GB2312" w:eastAsia="仿宋_GB2312" w:hAnsi="微软雅黑" w:cs="宋体" w:hint="eastAsia"/>
          <w:color w:val="000000"/>
          <w:kern w:val="0"/>
          <w:sz w:val="32"/>
          <w:szCs w:val="32"/>
        </w:rPr>
        <w:t>（1）全域特殊经济功能区的内涵和特征；</w:t>
      </w:r>
    </w:p>
    <w:p w:rsidR="006E3ACE" w:rsidRDefault="006E3ACE" w:rsidP="006E3ACE">
      <w:pPr>
        <w:widowControl/>
        <w:ind w:leftChars="200" w:left="420"/>
        <w:jc w:val="left"/>
        <w:rPr>
          <w:rFonts w:ascii="仿宋_GB2312" w:eastAsia="仿宋_GB2312" w:hAnsi="微软雅黑" w:cs="宋体"/>
          <w:color w:val="000000"/>
          <w:kern w:val="0"/>
          <w:sz w:val="32"/>
          <w:szCs w:val="32"/>
        </w:rPr>
      </w:pPr>
      <w:r w:rsidRPr="006E3ACE">
        <w:rPr>
          <w:rFonts w:ascii="仿宋_GB2312" w:eastAsia="仿宋_GB2312" w:hAnsi="微软雅黑" w:cs="宋体" w:hint="eastAsia"/>
          <w:color w:val="000000"/>
          <w:kern w:val="0"/>
          <w:sz w:val="32"/>
          <w:szCs w:val="32"/>
        </w:rPr>
        <w:t>（2）浦东打造全域特殊经济功能区的方向和思路；</w:t>
      </w:r>
    </w:p>
    <w:p w:rsidR="006E3ACE" w:rsidRPr="006E3ACE" w:rsidRDefault="006E3ACE" w:rsidP="006E3ACE">
      <w:pPr>
        <w:widowControl/>
        <w:ind w:leftChars="200" w:left="420"/>
        <w:jc w:val="left"/>
        <w:rPr>
          <w:rFonts w:ascii="仿宋_GB2312" w:eastAsia="仿宋_GB2312" w:hAnsi="微软雅黑" w:cs="宋体" w:hint="eastAsia"/>
          <w:color w:val="000000"/>
          <w:kern w:val="0"/>
          <w:sz w:val="32"/>
          <w:szCs w:val="32"/>
        </w:rPr>
      </w:pPr>
      <w:r w:rsidRPr="006E3ACE">
        <w:rPr>
          <w:rFonts w:ascii="仿宋_GB2312" w:eastAsia="仿宋_GB2312" w:hAnsi="微软雅黑" w:cs="宋体" w:hint="eastAsia"/>
          <w:color w:val="000000"/>
          <w:kern w:val="0"/>
          <w:sz w:val="32"/>
          <w:szCs w:val="32"/>
        </w:rPr>
        <w:t>（3）浦东打造全域特殊经济功能区需要破解的问题和近期可为的举措。</w:t>
      </w:r>
    </w:p>
    <w:p w:rsidR="006E3ACE" w:rsidRPr="006E5E26" w:rsidRDefault="006E3ACE" w:rsidP="006E3ACE">
      <w:pPr>
        <w:widowControl/>
        <w:ind w:firstLine="480"/>
        <w:jc w:val="left"/>
        <w:rPr>
          <w:rFonts w:ascii="微软雅黑" w:eastAsia="微软雅黑" w:hAnsi="微软雅黑" w:cs="宋体"/>
          <w:color w:val="000000"/>
          <w:kern w:val="0"/>
          <w:szCs w:val="21"/>
        </w:rPr>
      </w:pPr>
      <w:r w:rsidRPr="006E5E26">
        <w:rPr>
          <w:rFonts w:ascii="微软雅黑" w:eastAsia="微软雅黑" w:hAnsi="微软雅黑" w:cs="宋体" w:hint="eastAsia"/>
          <w:color w:val="000000"/>
          <w:kern w:val="0"/>
          <w:szCs w:val="21"/>
        </w:rPr>
        <w:t> </w:t>
      </w:r>
    </w:p>
    <w:p w:rsidR="006E3ACE" w:rsidRDefault="006E3ACE" w:rsidP="006E3ACE"/>
    <w:p w:rsidR="00C5559A" w:rsidRPr="006E3ACE" w:rsidRDefault="00C5559A">
      <w:bookmarkStart w:id="0" w:name="_GoBack"/>
      <w:bookmarkEnd w:id="0"/>
    </w:p>
    <w:sectPr w:rsidR="00C5559A" w:rsidRPr="006E3A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6052" w:rsidRDefault="00EE6052" w:rsidP="006E3ACE">
      <w:r>
        <w:separator/>
      </w:r>
    </w:p>
  </w:endnote>
  <w:endnote w:type="continuationSeparator" w:id="0">
    <w:p w:rsidR="00EE6052" w:rsidRDefault="00EE6052" w:rsidP="006E3A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6052" w:rsidRDefault="00EE6052" w:rsidP="006E3ACE">
      <w:r>
        <w:separator/>
      </w:r>
    </w:p>
  </w:footnote>
  <w:footnote w:type="continuationSeparator" w:id="0">
    <w:p w:rsidR="00EE6052" w:rsidRDefault="00EE6052" w:rsidP="006E3A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2C3D"/>
    <w:rsid w:val="006E3ACE"/>
    <w:rsid w:val="00BA2C3D"/>
    <w:rsid w:val="00C5559A"/>
    <w:rsid w:val="00EE6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55403CD-72B0-4DE2-BCE3-634AE9184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A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E3A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E3ACE"/>
    <w:rPr>
      <w:sz w:val="18"/>
      <w:szCs w:val="18"/>
    </w:rPr>
  </w:style>
  <w:style w:type="paragraph" w:styleId="a4">
    <w:name w:val="footer"/>
    <w:basedOn w:val="a"/>
    <w:link w:val="Char0"/>
    <w:uiPriority w:val="99"/>
    <w:unhideWhenUsed/>
    <w:rsid w:val="006E3ACE"/>
    <w:pPr>
      <w:tabs>
        <w:tab w:val="center" w:pos="4153"/>
        <w:tab w:val="right" w:pos="8306"/>
      </w:tabs>
      <w:snapToGrid w:val="0"/>
      <w:jc w:val="left"/>
    </w:pPr>
    <w:rPr>
      <w:sz w:val="18"/>
      <w:szCs w:val="18"/>
    </w:rPr>
  </w:style>
  <w:style w:type="character" w:customStyle="1" w:styleId="Char0">
    <w:name w:val="页脚 Char"/>
    <w:basedOn w:val="a0"/>
    <w:link w:val="a4"/>
    <w:uiPriority w:val="99"/>
    <w:rsid w:val="006E3AC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Words>
  <Characters>294</Characters>
  <Application>Microsoft Office Word</Application>
  <DocSecurity>0</DocSecurity>
  <Lines>2</Lines>
  <Paragraphs>1</Paragraphs>
  <ScaleCrop>false</ScaleCrop>
  <Company/>
  <LinksUpToDate>false</LinksUpToDate>
  <CharactersWithSpaces>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2022-08-02T05:54:00Z</dcterms:created>
  <dcterms:modified xsi:type="dcterms:W3CDTF">2022-08-02T05:55:00Z</dcterms:modified>
</cp:coreProperties>
</file>